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36" w:rsidRPr="00107C36" w:rsidRDefault="00107C36" w:rsidP="0010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</w:pPr>
      <w:proofErr w:type="spellStart"/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Аналіз</w:t>
      </w:r>
      <w:proofErr w:type="spellEnd"/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регуляторного </w:t>
      </w:r>
      <w:proofErr w:type="spellStart"/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впливу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до</w:t>
      </w:r>
    </w:p>
    <w:p w:rsidR="00107C36" w:rsidRPr="00107C36" w:rsidRDefault="00107C36" w:rsidP="0010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</w:pPr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проекту </w:t>
      </w:r>
      <w:proofErr w:type="spellStart"/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рішення</w:t>
      </w:r>
      <w:proofErr w:type="spellEnd"/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Старовижівської </w:t>
      </w:r>
      <w:proofErr w:type="spellStart"/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селищної</w:t>
      </w:r>
      <w:proofErr w:type="spellEnd"/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ради</w:t>
      </w:r>
    </w:p>
    <w:p w:rsidR="00107C36" w:rsidRPr="00107C36" w:rsidRDefault="00107C36" w:rsidP="0010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„</w:t>
      </w:r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Про </w:t>
      </w:r>
      <w:proofErr w:type="spellStart"/>
      <w:proofErr w:type="gramStart"/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затвердження</w:t>
      </w:r>
      <w:proofErr w:type="spellEnd"/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 Правил</w:t>
      </w:r>
      <w:proofErr w:type="gramEnd"/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 благоустрою</w:t>
      </w:r>
    </w:p>
    <w:p w:rsidR="004C6555" w:rsidRDefault="00107C36" w:rsidP="0010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</w:pPr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т</w:t>
      </w:r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ериторії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населених</w:t>
      </w:r>
      <w:proofErr w:type="spellEnd"/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пунктів</w:t>
      </w:r>
      <w:proofErr w:type="spellEnd"/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Старовижівської </w:t>
      </w:r>
      <w:proofErr w:type="spellStart"/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селищної</w:t>
      </w:r>
      <w:proofErr w:type="spellEnd"/>
      <w:r w:rsidRPr="00107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ради” </w:t>
      </w:r>
    </w:p>
    <w:p w:rsidR="00107C36" w:rsidRPr="004C6555" w:rsidRDefault="00107C36" w:rsidP="0010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4C6555" w:rsidRPr="004C6555" w:rsidRDefault="004C6555" w:rsidP="0010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Назва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регуляторного акта –</w:t>
      </w:r>
      <w:r w:rsid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рішення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r w:rsid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Старовижівської селищної ради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ради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 «</w:t>
      </w:r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Про </w:t>
      </w:r>
      <w:proofErr w:type="spellStart"/>
      <w:proofErr w:type="gram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затвердження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 Правил</w:t>
      </w:r>
      <w:proofErr w:type="gram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 благоустрою</w:t>
      </w:r>
      <w:r w:rsid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території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населених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пунктів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Старовижівської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селищної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ради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».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Регуляторний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орган – </w:t>
      </w:r>
      <w:proofErr w:type="spellStart"/>
      <w:r w:rsid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Старовижівська</w:t>
      </w:r>
      <w:proofErr w:type="spellEnd"/>
      <w:r w:rsid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селищна рада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Розробник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документа – </w:t>
      </w:r>
      <w:proofErr w:type="spellStart"/>
      <w:r w:rsid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відділ</w:t>
      </w:r>
      <w:proofErr w:type="spellEnd"/>
      <w:r w:rsid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організаційно</w:t>
      </w:r>
      <w:proofErr w:type="spellEnd"/>
      <w:r w:rsid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-правового </w:t>
      </w:r>
      <w:proofErr w:type="spellStart"/>
      <w:r w:rsid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забезпечення</w:t>
      </w:r>
      <w:proofErr w:type="spellEnd"/>
      <w:r w:rsid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Старовижівської </w:t>
      </w:r>
      <w:proofErr w:type="spellStart"/>
      <w:r w:rsid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селищної</w:t>
      </w:r>
      <w:proofErr w:type="spellEnd"/>
      <w:r w:rsid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ради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І. Визначення проблеми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1. Проблема, яку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передбачається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розв’язати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шляхом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прийняття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цього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регуляторного акта.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 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Правила благоустрою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території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населених пунктів Старовижівської селищної ради 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(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далі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- Правила) - нормативно-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правовий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акт,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яким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установлюються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вимоги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щодо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благоустрою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території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населеного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пункту. Правила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розробленні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відповідно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до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Законів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«Про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благоустрій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населених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пунктів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», «Про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місцеве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самоврядування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», «Про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регулювання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містобудівної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діяльності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», «Про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органи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самоорганізації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населення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», «Про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охорону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навколишнього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природного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середовища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», «Про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відходи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», «Про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основи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містобудування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», «Про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планування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і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забудову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територій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», «Про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дорожній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рух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»,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Кодексів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інших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нормативно-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правових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актів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нормативних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документів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спрямовані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створення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умов,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сприятливих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життєдіяльності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людини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і є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обов’язковими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виконання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території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населених пунктів </w:t>
      </w:r>
      <w:r w:rsid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Старовижівської селищної 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ради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всіма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органами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державної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влади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органами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місцевого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самоврядування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підприємствами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установами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організаціями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незалежно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від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форм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власності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підпорядкування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органами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самоорганізації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населення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також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громадянами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у тому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числі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іноземцями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особами без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громадянства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Благоустрій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територій населених пунктів </w:t>
      </w:r>
      <w:r w:rsid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Старовижівської селищної 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ради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передбачає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: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Розроблення і здійснення ефективних і комплексних заходів з утримання території міста у належному стані, її санітарного очищення, збереження об’єктів загального користування, а також природних ландшафтів, інших природних комплексів і об’єктів.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-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Організацію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належного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утримання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раціонального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використання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території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будівель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інженерних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споруд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об’єктів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рекреаційного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природоохоронного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,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оздоровчого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історико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-культурного та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іншого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призначення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-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Створення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умов для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реалізації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прав та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виконання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обов’язків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суб’єктами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сфері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благоустрою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населених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пунктів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2.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Обґрунтування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причин, з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яких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визначена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проблема не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може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бути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розв’язана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за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допомогою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діючих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регуляторних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актів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.</w:t>
      </w:r>
    </w:p>
    <w:p w:rsidR="00107C36" w:rsidRPr="00107C36" w:rsidRDefault="004C6555" w:rsidP="0010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 </w:t>
      </w:r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На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сьогодні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території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селищної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ради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діють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Правила  з</w:t>
      </w:r>
      <w:proofErr w:type="gram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питань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благоустрою,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забезпечення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чистоти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і  порядку  та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додержання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тиші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в 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громадських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місцях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 на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території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селищної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ради, про те вони не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врегульовують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всі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проблемні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питання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lastRenderedPageBreak/>
        <w:t>сфері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багоустрою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а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загальна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проблема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підтримки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благоустрою в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Старовиждівській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селищній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раді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є актуальною.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Наданим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регуляторним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актом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пропонується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розв'язати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такі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проблеми</w:t>
      </w:r>
      <w:proofErr w:type="spellEnd"/>
      <w:r w:rsidR="00107C36"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як:</w:t>
      </w:r>
    </w:p>
    <w:p w:rsidR="00107C36" w:rsidRPr="00107C36" w:rsidRDefault="00107C36" w:rsidP="0010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</w:pPr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1)</w:t>
      </w:r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ab/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відсутність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чітко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встановлених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правил та норм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поведінки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юридичних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фізичних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осіб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сфері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благоустрою ради;</w:t>
      </w:r>
    </w:p>
    <w:p w:rsidR="00107C36" w:rsidRPr="00107C36" w:rsidRDefault="00107C36" w:rsidP="0010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</w:pPr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2)</w:t>
      </w:r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ab/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відсутність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чітко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встановленого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комплексу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заходів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необхідних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забезпечення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чистоти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і порядку на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території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селищної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ради,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зокрема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порядку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санітарного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очищення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особливостей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утримання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території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ради у зимовий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період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;</w:t>
      </w:r>
    </w:p>
    <w:p w:rsidR="00107C36" w:rsidRPr="00107C36" w:rsidRDefault="00107C36" w:rsidP="0010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</w:pPr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3)</w:t>
      </w:r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ab/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наявність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стихійних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сміттєзвалищ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розміщення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будівельних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матеріалів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(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піску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щебеню,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мішків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із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матеріалами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ін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.),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будівельного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сміття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відходів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прибудинковій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території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територіях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житлової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громадської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забудови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зелених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зонах;</w:t>
      </w:r>
    </w:p>
    <w:p w:rsidR="00107C36" w:rsidRPr="00107C36" w:rsidRDefault="00107C36" w:rsidP="0010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</w:pPr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4)</w:t>
      </w:r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ab/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відсутності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юридичних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осіб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договорів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вивезення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твердих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побутових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відходів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складування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відходів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непризначених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цього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місцях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;</w:t>
      </w:r>
    </w:p>
    <w:p w:rsidR="00107C36" w:rsidRPr="00107C36" w:rsidRDefault="00107C36" w:rsidP="0010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</w:pPr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5)</w:t>
      </w:r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ab/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паркування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транспорту на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територіях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зелених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зон (газонах,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квітниках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клумбах) та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майданчиках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відпочинку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дозвілля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миття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транспортних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засобів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у не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встановлених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місцях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;</w:t>
      </w:r>
    </w:p>
    <w:p w:rsidR="004C6555" w:rsidRPr="004C6555" w:rsidRDefault="00107C36" w:rsidP="0010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6)</w:t>
      </w:r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ab/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неможливість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притягнення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до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адміністративної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відповідальності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осіб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винних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порушенні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правил благоустрою через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відсутність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таких правил,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затверджених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уповноваженим</w:t>
      </w:r>
      <w:proofErr w:type="spellEnd"/>
      <w:r w:rsidRP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органом.</w:t>
      </w:r>
      <w:r w:rsidR="004C6555" w:rsidRPr="004C655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ІІ</w:t>
      </w:r>
      <w:r w:rsidRPr="00683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. Цілі державного регулювання.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   Цілями державного регулювання є: покращення благоустрою та збереження архітектурного та історичного вигляду міста; ефективне використання ресурсів території громади; збереження охоронних зон інженерних мереж населених пунктів </w:t>
      </w:r>
      <w:r w:rsidR="00107C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Старовижівської селищної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ради.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ІІІ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. 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Визначення та оцінка альтернативних способів досягнення цілей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bdr w:val="none" w:sz="0" w:space="0" w:color="auto" w:frame="1"/>
          <w:lang w:eastAsia="uk-UA"/>
        </w:rPr>
        <w:t>   Проведення аналізу вигід та витрат у його повному обсязі є складною процедурою, оскільки передбачає систематичний збір та аналіз інформації, розрахунок вигід та витрат для значного проміжку часу, застосування різних математичних, економічних та соціальних моделей.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bdr w:val="none" w:sz="0" w:space="0" w:color="auto" w:frame="1"/>
          <w:lang w:eastAsia="uk-UA"/>
        </w:rPr>
        <w:t>Очікуваними результатами прийняття запропонованого регулятор-ного 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uk-UA"/>
        </w:rPr>
        <w:t xml:space="preserve"> є:</w:t>
      </w:r>
    </w:p>
    <w:p w:rsidR="00107C36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996"/>
        <w:gridCol w:w="3666"/>
      </w:tblGrid>
      <w:tr w:rsidR="00107C36" w:rsidRPr="00107C36" w:rsidTr="00EA67A8"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36" w:rsidRPr="004C6555" w:rsidRDefault="00107C36" w:rsidP="00EA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Сфера впливу регуляторного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акта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36" w:rsidRPr="004C6555" w:rsidRDefault="00107C36" w:rsidP="00EA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Очікувані</w:t>
            </w:r>
          </w:p>
        </w:tc>
      </w:tr>
      <w:tr w:rsidR="00107C36" w:rsidRPr="00107C36" w:rsidTr="00EA67A8"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C36" w:rsidRPr="004C6555" w:rsidRDefault="00107C36" w:rsidP="00EA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36" w:rsidRPr="004C6555" w:rsidRDefault="00107C36" w:rsidP="00EA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вигоди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36" w:rsidRPr="004C6555" w:rsidRDefault="00107C36" w:rsidP="00EA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витрати</w:t>
            </w:r>
          </w:p>
        </w:tc>
      </w:tr>
      <w:tr w:rsidR="00107C36" w:rsidRPr="00107C36" w:rsidTr="00EA67A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36" w:rsidRPr="004C6555" w:rsidRDefault="00107C36" w:rsidP="00EA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Старовижівська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селищна об’єднана територіальна громада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36" w:rsidRPr="004C6555" w:rsidRDefault="00107C36" w:rsidP="0046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Забезпечення чистоти і порядку на об’єктах благоустрою </w:t>
            </w:r>
            <w:r w:rsidR="00463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населених пунктів селищної ради</w:t>
            </w:r>
            <w:r w:rsidRPr="004C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, створення умов, </w:t>
            </w:r>
            <w:r w:rsidRPr="004C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сприятливих для життєдіяльності людини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36" w:rsidRPr="004C6555" w:rsidRDefault="00107C36" w:rsidP="001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 xml:space="preserve">Витрати на участь у здійсненні заходів із благоустрою населених пунктів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Старовижівської селищної</w:t>
            </w: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ради</w:t>
            </w:r>
          </w:p>
        </w:tc>
      </w:tr>
      <w:tr w:rsidR="00107C36" w:rsidRPr="00107C36" w:rsidTr="00EA67A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36" w:rsidRPr="004C6555" w:rsidRDefault="00107C36" w:rsidP="00EA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Суб'єкти господарювання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36" w:rsidRPr="004C6555" w:rsidRDefault="00107C36" w:rsidP="00EA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Забезпечення чистоти і порядку на об’єктах благоустрою населених пунктів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36" w:rsidRPr="004C6555" w:rsidRDefault="00107C36" w:rsidP="00EA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Витрати на участь у здійсненні заходів із благоустрою населених пунктів</w:t>
            </w:r>
          </w:p>
        </w:tc>
      </w:tr>
      <w:tr w:rsidR="00107C36" w:rsidRPr="00107C36" w:rsidTr="00EA67A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36" w:rsidRPr="004C6555" w:rsidRDefault="00107C36" w:rsidP="00EA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Органи місцевого самоврядування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36" w:rsidRPr="004C6555" w:rsidRDefault="00107C36" w:rsidP="00EA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Визначення правових,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еконо-мічних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, екологічних, соціаль</w:t>
            </w:r>
            <w:r w:rsidR="00463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них та організаційних засад бла</w:t>
            </w: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гоустрою території населених пунктів, залучення громадян, суб’єктів господарювання до утримання об’єктів благоустрою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36" w:rsidRPr="004C6555" w:rsidRDefault="00107C36" w:rsidP="00EA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Витрати на утримання  та ремонт об’єктів та елементів благоустрою населених пунктів </w:t>
            </w:r>
            <w:r w:rsidR="00463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Старовижівської селищної ради</w:t>
            </w: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  <w:p w:rsidR="00107C36" w:rsidRPr="004C6555" w:rsidRDefault="00107C36" w:rsidP="00EA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</w:tr>
    </w:tbl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  <w:lang w:eastAsia="uk-UA"/>
        </w:rPr>
        <w:t xml:space="preserve">Метою цього регуляторного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  <w:lang w:eastAsia="uk-UA"/>
        </w:rPr>
        <w:t xml:space="preserve"> є встановлення порядку благоустрою та утримання території об'єктів благоустрою на території 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населених пунктів </w:t>
      </w:r>
      <w:r w:rsidR="00463E31" w:rsidRPr="00463E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Старовижівської селищної ради</w:t>
      </w:r>
      <w:r w:rsidRPr="004C6555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  <w:lang w:eastAsia="uk-UA"/>
        </w:rPr>
        <w:t>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Альтернативними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способамидосягнення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визначених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цілей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є: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  Перевага обраного виду регулювання над усіма іншими можливими способами ґрунтується на імперативності (загальнообов’язковості) рішень </w:t>
      </w:r>
      <w:r w:rsidR="00463E31" w:rsidRPr="00463E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Старовижівської селищної ради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для виконання на території населених пунктів, що передбачено ст. 144 Конституції України та ст. 73 Закону України «Про місцеве самоврядування в Україні».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І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uk-UA"/>
        </w:rPr>
        <w:t>V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. Вибір найбільш оптимального альтернативного способу досягнення цілей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</w:p>
    <w:tbl>
      <w:tblPr>
        <w:tblW w:w="0" w:type="dxa"/>
        <w:jc w:val="center"/>
        <w:tblBorders>
          <w:top w:val="single" w:sz="8" w:space="0" w:color="9AC3CB"/>
          <w:left w:val="single" w:sz="8" w:space="0" w:color="9AC3CB"/>
          <w:bottom w:val="single" w:sz="8" w:space="0" w:color="9AC3CB"/>
          <w:right w:val="single" w:sz="8" w:space="0" w:color="9AC3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C6555" w:rsidRPr="004C6555" w:rsidTr="004C6555">
        <w:trPr>
          <w:jc w:val="center"/>
        </w:trPr>
        <w:tc>
          <w:tcPr>
            <w:tcW w:w="3120" w:type="dxa"/>
            <w:tcBorders>
              <w:top w:val="single" w:sz="8" w:space="0" w:color="9AC3CB"/>
              <w:left w:val="single" w:sz="8" w:space="0" w:color="9AC3CB"/>
              <w:bottom w:val="single" w:sz="8" w:space="0" w:color="9AC3CB"/>
              <w:right w:val="single" w:sz="8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Альтернативи</w:t>
            </w:r>
            <w:proofErr w:type="spellEnd"/>
          </w:p>
        </w:tc>
        <w:tc>
          <w:tcPr>
            <w:tcW w:w="3120" w:type="dxa"/>
            <w:tcBorders>
              <w:top w:val="single" w:sz="8" w:space="0" w:color="9AC3CB"/>
              <w:left w:val="nil"/>
              <w:bottom w:val="single" w:sz="8" w:space="0" w:color="9AC3CB"/>
              <w:right w:val="single" w:sz="8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Переваги</w:t>
            </w:r>
            <w:proofErr w:type="spellEnd"/>
          </w:p>
        </w:tc>
        <w:tc>
          <w:tcPr>
            <w:tcW w:w="3120" w:type="dxa"/>
            <w:tcBorders>
              <w:top w:val="single" w:sz="8" w:space="0" w:color="9AC3CB"/>
              <w:left w:val="nil"/>
              <w:bottom w:val="single" w:sz="8" w:space="0" w:color="9AC3CB"/>
              <w:right w:val="single" w:sz="8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Недоліки</w:t>
            </w:r>
            <w:proofErr w:type="spellEnd"/>
          </w:p>
        </w:tc>
      </w:tr>
      <w:tr w:rsidR="004C6555" w:rsidRPr="004C6555" w:rsidTr="004C6555">
        <w:trPr>
          <w:jc w:val="center"/>
        </w:trPr>
        <w:tc>
          <w:tcPr>
            <w:tcW w:w="3120" w:type="dxa"/>
            <w:tcBorders>
              <w:top w:val="nil"/>
              <w:left w:val="single" w:sz="8" w:space="0" w:color="9AC3CB"/>
              <w:bottom w:val="single" w:sz="8" w:space="0" w:color="9AC3CB"/>
              <w:right w:val="single" w:sz="8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Залишення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усього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без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змін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9AC3CB"/>
              <w:right w:val="single" w:sz="8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Відсутні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9AC3CB"/>
              <w:right w:val="single" w:sz="8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Буде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призводити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до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збільшення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випадків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порушення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норм чинного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законодавства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у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сфері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благоустрою,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використання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не за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цільовим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призначенням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об’єктів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благоустрою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тощо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.</w:t>
            </w:r>
          </w:p>
        </w:tc>
      </w:tr>
      <w:tr w:rsidR="004C6555" w:rsidRPr="004C6555" w:rsidTr="004C6555">
        <w:trPr>
          <w:jc w:val="center"/>
        </w:trPr>
        <w:tc>
          <w:tcPr>
            <w:tcW w:w="3120" w:type="dxa"/>
            <w:tcBorders>
              <w:top w:val="nil"/>
              <w:left w:val="single" w:sz="8" w:space="0" w:color="9AC3CB"/>
              <w:bottom w:val="single" w:sz="8" w:space="0" w:color="9AC3CB"/>
              <w:right w:val="single" w:sz="8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Обраний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спосіб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регулювання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9AC3CB"/>
              <w:right w:val="single" w:sz="8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Стимулюватиме та зобов’язуватиме суб’єктів </w:t>
            </w: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 xml:space="preserve">господарювання дотримуватися вимог законодавства України в сфері благоустрою, сприятиме охороні та раціональному використанню об’єктів благоустрою, своєчасному оформленню </w:t>
            </w: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(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переоформленню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)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дозвільних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документів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9AC3CB"/>
              <w:right w:val="single" w:sz="8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lastRenderedPageBreak/>
              <w:t>Відсутні</w:t>
            </w:r>
            <w:proofErr w:type="spellEnd"/>
          </w:p>
        </w:tc>
      </w:tr>
      <w:tr w:rsidR="004C6555" w:rsidRPr="004C6555" w:rsidTr="004C6555">
        <w:trPr>
          <w:jc w:val="center"/>
        </w:trPr>
        <w:tc>
          <w:tcPr>
            <w:tcW w:w="3120" w:type="dxa"/>
            <w:tcBorders>
              <w:top w:val="nil"/>
              <w:left w:val="single" w:sz="8" w:space="0" w:color="9AC3CB"/>
              <w:bottom w:val="single" w:sz="8" w:space="0" w:color="9AC3CB"/>
              <w:right w:val="single" w:sz="8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lastRenderedPageBreak/>
              <w:t>Користуватися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чинними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нормативно-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правовими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актами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9AC3CB"/>
              <w:right w:val="single" w:sz="8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Відсутні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9AC3CB"/>
              <w:right w:val="single" w:sz="8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При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цьому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можуть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бути не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враховані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місцеві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особливості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та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виникнути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невідповідності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норм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чинних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нормативно-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правових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актів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.</w:t>
            </w:r>
          </w:p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Діючі норми та правила певним чином застаріли і не дають змоги використовувати свої права в галузі благоустрою суб’єктам господарювання, міській громаді та окремим мешканцям</w:t>
            </w: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 </w:t>
            </w: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 населених пунктів </w:t>
            </w:r>
            <w:r w:rsidR="00463E31" w:rsidRPr="00463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Старовижівської селищної ради</w:t>
            </w: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</w:tr>
      <w:tr w:rsidR="004C6555" w:rsidRPr="004C6555" w:rsidTr="004C6555">
        <w:trPr>
          <w:jc w:val="center"/>
        </w:trPr>
        <w:tc>
          <w:tcPr>
            <w:tcW w:w="3120" w:type="dxa"/>
            <w:tcBorders>
              <w:top w:val="nil"/>
              <w:left w:val="single" w:sz="8" w:space="0" w:color="9AC3CB"/>
              <w:bottom w:val="single" w:sz="8" w:space="0" w:color="9AC3CB"/>
              <w:right w:val="single" w:sz="8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Постійне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приведення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території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 </w:t>
            </w: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населених пунктів </w:t>
            </w:r>
            <w:r w:rsidR="00463E31" w:rsidRPr="00463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Старовижівської селищної ради</w:t>
            </w: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 у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належний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стан за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рахунок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коштів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місцевого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бюджету.</w:t>
            </w:r>
          </w:p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9AC3CB"/>
              <w:right w:val="single" w:sz="8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Відсутні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9AC3CB"/>
              <w:right w:val="single" w:sz="8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555" w:rsidRPr="004C6555" w:rsidRDefault="004C6555" w:rsidP="004C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Даний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спосіб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не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забезпечує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відповідальне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ставлення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мешканців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міста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та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суб’єктів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господарювання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до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питань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з благоустрою.</w:t>
            </w:r>
          </w:p>
          <w:p w:rsidR="004C6555" w:rsidRPr="004C6555" w:rsidRDefault="004C6555" w:rsidP="0046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Місцевий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бюджет не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може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забезпечити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постійне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відновлення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елементів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r w:rsidR="00463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б</w:t>
            </w: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лагоустрою </w:t>
            </w:r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  населених пунктів </w:t>
            </w:r>
            <w:proofErr w:type="spellStart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Ковалівської</w:t>
            </w:r>
            <w:proofErr w:type="spellEnd"/>
            <w:r w:rsidRPr="004C65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сільської ради власними силами та за власний рахунок.</w:t>
            </w:r>
          </w:p>
        </w:tc>
      </w:tr>
    </w:tbl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t xml:space="preserve">   Перевага обраного виду регулювання над усіма іншими можливими способами ґрунтується на імперативності (загальнообов’язковості) рішень </w:t>
      </w:r>
      <w:r w:rsidR="00463E31" w:rsidRPr="00463E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Старовижівської селищної ради 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для виконання на території населених пунктів, що передбачено ст. 144 Конституції України та ст. 73 Закону України «Про місцеве самоврядування в Україні».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Вибраний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спосіб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саме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прийняття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даного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регуляторного акта </w:t>
      </w:r>
      <w:proofErr w:type="spellStart"/>
      <w:r w:rsidR="00463E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Старовижівською</w:t>
      </w:r>
      <w:proofErr w:type="spellEnd"/>
      <w:r w:rsidR="00463E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селищною радою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відповідає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чинному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законодавству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прямо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регулює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проблему.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uk-UA"/>
        </w:rPr>
        <w:t>V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. 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Механізми та заходи, які забезпечать розв’язання визначення проблеми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       Досягнення мети, зазначеної у п. 2 цього Аналізу, є можливим завдяки прийняттю рішення </w:t>
      </w:r>
      <w:r w:rsidR="00463E31" w:rsidRPr="00463E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Старовижівської селищної ради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«</w:t>
      </w:r>
      <w:r w:rsidR="00463E31" w:rsidRPr="00463E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Про затвердження  Правил  благоустрою території населених пунктів Старовижівської селищної ради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» і забезпечується при виконанні та дотриманні суб’єктами господарювання, посадовими особами місцевого самоврядування вимог положень запропонованого проекту регуляторного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При прийнятті запропонованого регуляторного </w:t>
      </w:r>
      <w:proofErr w:type="spellStart"/>
      <w:r w:rsidRPr="004C6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  <w:r w:rsidRPr="004C6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будуть діяти наступні механізми та заходи, що забезпечать розв’язання визначених проблем: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залучення громадян та суб’єктів господарювання до благоустрою та утримання територій об’єктів благоустрою;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чітке визначення прав та обов’язків учасників правовідносин у галузі благоустрою, обмеження щодо використання об’єктів та елементів благоустрою;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контроль за дотриманням Правил благоустрою;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  відповідальність за порушення законодавства у сфері благоустрою;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закріплення за суб`єктами господарювання на договірних засадах території для утримання її в належному санітарному стані.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На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дію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даного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регуляторного акта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можуть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вплинути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зміни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у чинному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законодавстві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галузях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землевпорядкування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будівництва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містобудування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щодо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визначення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благоустрою,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встановлення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вимог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до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суб’єктів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господарювання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До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негативних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обставин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які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можуть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впливати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виконання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вимог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рішення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r w:rsidR="00463E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Старовижівської селищної ради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можна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віднести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: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- не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здійснення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(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недотримання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)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обов’язків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правил благоустрою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власником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(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балансоутримувачем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) з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утримання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об’єктів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благоустрою у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санітарно-технічному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стані</w:t>
      </w:r>
      <w:proofErr w:type="spellEnd"/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;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відсутність коштів для фінансування робіт з утримання та відновлення об’єктів та елементів благоустрою.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На органи місцевого самоврядування та уповноважених ним осіб покладається вчинення дій, пов’язаних з охороною об’єктів та елементів благоустрою, які є в комунальній власності: здійснення постійного контролю за додержанням правил благоустрою та притягненням до відповідальності осіб, винних у порушені правил благоустрою.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uk-UA"/>
        </w:rPr>
        <w:lastRenderedPageBreak/>
        <w:t>V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І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. 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Оцінка виконання регуляторного </w:t>
      </w:r>
      <w:proofErr w:type="spellStart"/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залежно від ресурсів, якими розпоряджаються органи місцевого самоврядування, фізичні та </w:t>
      </w:r>
      <w:proofErr w:type="spellStart"/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юриддичні</w:t>
      </w:r>
      <w:proofErr w:type="spellEnd"/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особи. Які повинні впроваджувати або виконувати ці вимоги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   За результатами прийняття зазначеного рішення </w:t>
      </w:r>
      <w:proofErr w:type="spellStart"/>
      <w:r w:rsidR="00683F0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Старовижівською</w:t>
      </w:r>
      <w:proofErr w:type="spellEnd"/>
      <w:r w:rsidR="00683F0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селищною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радою має бути досягнуто цілей, передбачених у п. 2 цього Аналізу, а саме: поліпшення благоустрою та збереження архітектурного та історичного вигляду </w:t>
      </w:r>
      <w:r w:rsidR="00683F0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населених пунктів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; ефективне використання ресурсів територіальної громади; збереження охоронних зон інженерних мереж населених пунктів громади.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V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ІІ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Обґрунтування</w:t>
      </w:r>
      <w:proofErr w:type="spellEnd"/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запропонованого 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строку </w:t>
      </w:r>
      <w:proofErr w:type="spellStart"/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дії</w:t>
      </w:r>
      <w:proofErr w:type="spellEnd"/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регуляторного акта.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   Рішення </w:t>
      </w:r>
      <w:r w:rsidR="00DE4F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Старовижівської селищної ради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«</w:t>
      </w:r>
      <w:r w:rsidR="00DE4FE4" w:rsidRPr="00DE4F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Про затвердження  Правил  благоустрою території населених пунктів Старовижівської селищної ради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»  є регуляторним нормативно - правовим актом, який діє на невизначене коло осіб, є загальнообов’язковим до застосування</w:t>
      </w:r>
      <w:r w:rsidR="00DE4F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на території населених пунктів</w:t>
      </w: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V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ІІІ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. 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Визначення п</w:t>
      </w:r>
      <w:proofErr w:type="spellStart"/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оказник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ів</w:t>
      </w:r>
      <w:proofErr w:type="spellEnd"/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результативності</w:t>
      </w:r>
      <w:proofErr w:type="spellEnd"/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дії </w:t>
      </w:r>
      <w:r w:rsidRPr="004C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регуляторного акта.</w:t>
      </w:r>
    </w:p>
    <w:p w:rsidR="004C6555" w:rsidRPr="004C6555" w:rsidRDefault="004C6555" w:rsidP="004C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655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170C9" w:rsidRPr="00B170C9" w:rsidRDefault="00B170C9" w:rsidP="00B170C9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B17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Показники результативності зазначеного акту передбачається визначити за наступними критеріями:</w:t>
      </w:r>
    </w:p>
    <w:p w:rsidR="00B170C9" w:rsidRPr="00B170C9" w:rsidRDefault="00B170C9" w:rsidP="00B170C9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B17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кількості порушень правил благоустрою, які обчислюються відповідно до кількості протоколів про адміністративні правопорушення за ст.152 КУпАП;</w:t>
      </w:r>
    </w:p>
    <w:p w:rsidR="00B170C9" w:rsidRPr="00B170C9" w:rsidRDefault="00B170C9" w:rsidP="00B170C9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B17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розміри витрачених коштів на відновлення благоустрою особами, які погіршують його стан у процесі г</w:t>
      </w:r>
      <w:bookmarkStart w:id="0" w:name="_GoBack"/>
      <w:bookmarkEnd w:id="0"/>
      <w:r w:rsidRPr="00B17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осподарської діяльності (будівництво, прокладання підземних та наземних інженерних споруд) або у разі аварій, інших дій;</w:t>
      </w:r>
    </w:p>
    <w:p w:rsidR="00B170C9" w:rsidRPr="00B170C9" w:rsidRDefault="00B170C9" w:rsidP="00B170C9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B17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обсяг послуг з проведення благоустрою території селищної ради за рахунок селищного  бюджету;</w:t>
      </w:r>
    </w:p>
    <w:p w:rsidR="00B170C9" w:rsidRPr="00B170C9" w:rsidRDefault="00B170C9" w:rsidP="00B170C9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B17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кількість укладених договорів про вивезення сміття, відходів;</w:t>
      </w:r>
    </w:p>
    <w:p w:rsidR="0041776F" w:rsidRDefault="00B170C9" w:rsidP="00B170C9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B17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кількість скарг від мешканців ради щодо виконання заходів з благоустрою селищної ради.</w:t>
      </w:r>
    </w:p>
    <w:p w:rsidR="00683F0A" w:rsidRDefault="00683F0A" w:rsidP="00B170C9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683F0A" w:rsidRDefault="00683F0A" w:rsidP="00B170C9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683F0A" w:rsidRDefault="00683F0A" w:rsidP="00B170C9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Селищний голова                                                                            В. І. Семенюк</w:t>
      </w:r>
    </w:p>
    <w:p w:rsidR="00683F0A" w:rsidRDefault="00683F0A" w:rsidP="00B170C9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683F0A" w:rsidRPr="004C6555" w:rsidRDefault="00683F0A" w:rsidP="00B17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Оприлюднено 31.10.2019 р.</w:t>
      </w:r>
    </w:p>
    <w:sectPr w:rsidR="00683F0A" w:rsidRPr="004C65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55"/>
    <w:rsid w:val="00107C36"/>
    <w:rsid w:val="001A487E"/>
    <w:rsid w:val="0041776F"/>
    <w:rsid w:val="00463E31"/>
    <w:rsid w:val="004C6555"/>
    <w:rsid w:val="00683F0A"/>
    <w:rsid w:val="00A93970"/>
    <w:rsid w:val="00B170C9"/>
    <w:rsid w:val="00D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CD9D6-46CF-4D7F-BB10-14FB42C9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7542</Words>
  <Characters>4299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2019-11-01T09:55:00Z</dcterms:created>
  <dcterms:modified xsi:type="dcterms:W3CDTF">2019-11-01T09:55:00Z</dcterms:modified>
</cp:coreProperties>
</file>