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EAF" w:rsidRDefault="008A7EAF" w:rsidP="008A7EAF">
      <w:pPr>
        <w:pBdr>
          <w:bottom w:val="single" w:sz="6" w:space="8" w:color="E5E5E5"/>
        </w:pBdr>
        <w:shd w:val="clear" w:color="auto" w:fill="FFFFFF"/>
        <w:spacing w:after="37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en-US"/>
        </w:rPr>
      </w:pPr>
      <w:r w:rsidRPr="008A7EAF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</w:rPr>
        <w:t>Протидія домашньому насильству</w:t>
      </w:r>
    </w:p>
    <w:p w:rsidR="008A7EAF" w:rsidRPr="008A7EAF" w:rsidRDefault="008A7EAF" w:rsidP="008A7EAF">
      <w:pPr>
        <w:pBdr>
          <w:bottom w:val="single" w:sz="6" w:space="8" w:color="E5E5E5"/>
        </w:pBdr>
        <w:shd w:val="clear" w:color="auto" w:fill="FFFFFF"/>
        <w:spacing w:after="37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en-US"/>
        </w:rPr>
      </w:pPr>
      <w:r>
        <w:rPr>
          <w:noProof/>
        </w:rPr>
        <w:drawing>
          <wp:inline distT="0" distB="0" distL="0" distR="0">
            <wp:extent cx="5940425" cy="2788039"/>
            <wp:effectExtent l="19050" t="0" r="3175" b="0"/>
            <wp:docPr id="15" name="Рисунок 15" descr="http://35.sadok.zt.ua/wp-content/uploads/2018/12/nasilstvo-e154462544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5.sadok.zt.ua/wp-content/uploads/2018/12/nasilstvo-e15446254448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8A7EAF" w:rsidRPr="008A7EAF" w:rsidRDefault="008A7EAF" w:rsidP="008A7E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uk-UA"/>
        </w:rPr>
        <w:t>Що таке домашнє насильство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Насильство в сім’ї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 – будь-які умисні дії фізичного, сексуального, психологічного чи економічного спрямування одного члена сім’ї по відношенню до іншого члена сім’ї, якщо ці дії порушують конституційні права і свободи члена сім’ї як людини та громадянина і наносять йому моральну шкоду, шкоду його фізичному та психічному здоров’ю                           </w:t>
      </w: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(ст. 1 Закону України «Про попередження насильства в сім’ї» від11.11.2001 №2789-I)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Домашнє насильство</w:t>
      </w:r>
      <w:r w:rsidRPr="008A7E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 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означає всі акти фізичного, сексуального, психологічного або економічного насильства, які відбуваються в лоні сім`ї чи в межах місця проживання або між колишніми чи теперішніми подружжями або партнерами, незалежно від того, чи проживає правопорушник у тому самому місці, що й жертва, чи ні або незалежно від того, чи проживав    правопорушник у тому самому місці, що й жертва, чи ні.                                  </w:t>
      </w: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(ст.3 Конвенції Ради Європи про запобігання насильству стосовно жінок і домашньому насильству та боротьбу із цими явищами)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val="uk-UA"/>
        </w:rPr>
        <w:t>Види насильства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Фізичне насильство: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Побої, стусани, штовхання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Перешкоджання вільному пересуванню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Примус до вживання алкоголю чи наркотичних речовин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Створення ситуацій, що несуть ризик чи загрозу життю та здоров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`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ю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Погрожування зброєю чи іншими речами, що можуть завдати фізичної шкоди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Позбавлення допомоги під час хвороби чи вагітності</w:t>
      </w:r>
    </w:p>
    <w:p w:rsidR="008A7EAF" w:rsidRPr="008A7EAF" w:rsidRDefault="008A7EAF" w:rsidP="008A7EAF">
      <w:pPr>
        <w:numPr>
          <w:ilvl w:val="0"/>
          <w:numId w:val="1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Перевезення до іншого місця в межах країни чи за кордон шляхом обману або примусу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Психологічне насильство: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Погрози вбити чи скалічити (в тому числі дітей)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Словесні образи та приниження жестами й мімікою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Погрози відібрати дітей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lastRenderedPageBreak/>
        <w:t>Шантаж та маніпуляції, введення в оману для власної вигоди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Булінг (цькування, переслідування, залякування)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Постійний та цілковитий контроль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Зневага як до особистості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Постійна критика та насмішки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Безпідставні звинувачення та формування почуття провини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Обмеження у контактах із близькими та друзями, у виборі кола спілкування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Нехтування правом на честь та гідність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Безпідставні ревнощі, обвинувачення у зраді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Дискримінація через переконання, віросповідання, походження, статус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Примушування спостерігати за насильством над іншими людьми чи тваринами</w:t>
      </w:r>
    </w:p>
    <w:p w:rsidR="008A7EAF" w:rsidRPr="008A7EAF" w:rsidRDefault="008A7EAF" w:rsidP="008A7EAF">
      <w:pPr>
        <w:numPr>
          <w:ilvl w:val="0"/>
          <w:numId w:val="2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Погроза позбавити житла або особистого майна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Сексуальне</w:t>
      </w: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val="uk-UA"/>
        </w:rPr>
        <w:t> </w:t>
      </w: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насильство: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Примушування до небажаних статевих стосунків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Торкання інтимних частин тіла без згоди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Змушення до статевого акту з іншою людиною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Примус до неприйнятних форм сексу, садистських практик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Нав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`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язування відвертого стилю одягу або поведінки всупереч твоєму бажанню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Примушування спостерігати за статевими актами між іншими людьми</w:t>
      </w:r>
    </w:p>
    <w:p w:rsidR="008A7EAF" w:rsidRPr="008A7EAF" w:rsidRDefault="008A7EAF" w:rsidP="008A7EAF">
      <w:pPr>
        <w:numPr>
          <w:ilvl w:val="0"/>
          <w:numId w:val="3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Примушування до участі у створенні чи перегляді порнографічних матеріалів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Економічне</w:t>
      </w: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val="uk-UA"/>
        </w:rPr>
        <w:t> </w:t>
      </w: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bdr w:val="none" w:sz="0" w:space="0" w:color="auto" w:frame="1"/>
          <w:lang w:val="uk-UA"/>
        </w:rPr>
        <w:t>насильство: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Позбавлення їжі та води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Обмеження доступу чи позбавлення житла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Пошкодження особистого майна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Перешкоджання у доступі до необхідних послуг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Позбавлення власних коштів, інших матеріальних цінностей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Майновий шантаж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Заборона працевлаштовуватись, навчатись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/>
        </w:rPr>
        <w:t>Примушування до жебрацтва</w:t>
      </w:r>
    </w:p>
    <w:p w:rsidR="008A7EAF" w:rsidRPr="008A7EAF" w:rsidRDefault="008A7EAF" w:rsidP="008A7EAF">
      <w:pPr>
        <w:numPr>
          <w:ilvl w:val="0"/>
          <w:numId w:val="4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257305"/>
            <wp:effectExtent l="19050" t="0" r="3175" b="0"/>
            <wp:docPr id="12" name="Рисунок 12" descr="https://gdb.rferl.org/DE2DCB98-7A08-44E2-B994-BE28479A80C8_w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db.rferl.org/DE2DCB98-7A08-44E2-B994-BE28479A80C8_w1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Arial" w:eastAsia="Times New Roman" w:hAnsi="Arial" w:cs="Arial"/>
          <w:color w:val="333333"/>
          <w:sz w:val="21"/>
          <w:szCs w:val="21"/>
        </w:rPr>
        <w:t> 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7 січня 2018 року набрав чинності </w:t>
      </w:r>
      <w:hyperlink r:id="rId7" w:anchor="n641" w:history="1">
        <w:r w:rsidRPr="008A7EAF">
          <w:rPr>
            <w:rFonts w:ascii="Times New Roman" w:eastAsia="Times New Roman" w:hAnsi="Times New Roman" w:cs="Times New Roman"/>
            <w:b/>
            <w:bCs/>
            <w:color w:val="25669C"/>
            <w:sz w:val="24"/>
            <w:szCs w:val="24"/>
            <w:u w:val="single"/>
          </w:rPr>
          <w:t>Закон України «Про запобігання та протидію домашньому насильству»</w:t>
        </w:r>
      </w:hyperlink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, в якому запроваджено комплексний підхід та визначено систему заходів щодо запобігання та протидії фізичному, психологічному та сексуальному насильству в сім’ї.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Дія даного Закону, незалежно від факту спільного проживання, поширюється на таких осіб: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 Подружжя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Колишнє подружжя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Наречені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Мати (батько) або діти одного з подружжя (колишнього подружжя) та інший з подружжя (колишнього подружжя)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Особи, які спільно проживають (проживали) однією сім’єю, але не перебувають (не перебували) у шлюбі між собою, їхні батьки та діти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Особи, які мають спільну дитину (дітей)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Батьки (мати, батько) і дитина (діти)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Дід (баба) та онук (онука)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Прадід (прабаба) та правнук (правнучка)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Вітчим (мачуха) та пасинок (падчерка)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Рідні брати і сестри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Інші родичі: дядько (тітка) та племінник (племінниця), двоюрідні брати і сестри, двоюрідний дід (баба) та двоюрідний онук (онука)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Діти подружжя, колишнього подружжя, наречених, осіб, які мають спільну дитину (дітей), які не є спільними або всиновленими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Опікуни, піклувальники, їхні діти та особи, які перебувають (перебували) під опікою, піклуванням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lastRenderedPageBreak/>
        <w:t>Прийомні батьки, батьки-вихователі, патронатні вихователі, їхні діти та прийомні діти, діти-вихованці, діти, які проживають (проживали) в сім’ї патронатного вихователя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Інші родичі, інші особи, які пов’язані спільним побутом, мають взаємні права та обов’язки, за умови спільного проживання</w:t>
      </w:r>
    </w:p>
    <w:p w:rsidR="008A7EAF" w:rsidRPr="008A7EAF" w:rsidRDefault="008A7EAF" w:rsidP="008A7EAF">
      <w:pPr>
        <w:numPr>
          <w:ilvl w:val="0"/>
          <w:numId w:val="5"/>
        </w:numPr>
        <w:shd w:val="clear" w:color="auto" w:fill="FFFFFF"/>
        <w:spacing w:after="0" w:line="240" w:lineRule="auto"/>
        <w:ind w:left="225" w:right="225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950383"/>
            <wp:effectExtent l="19050" t="0" r="3175" b="0"/>
            <wp:docPr id="9" name="Рисунок 9" descr="http://yur-gazeta.com/content/UserImages/92370f08b71b3236b0c74f101a447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ur-gazeta.com/content/UserImages/92370f08b71b3236b0c74f101a4470b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Законом встановлено, що до кривдника (особи що вчинила домашнє насильство у будь-якій формі) суб’єктами, що здійснюють заходи у сфері запобігання та протидії домашньому насильству може бути встановлено спеціальні заходи щодо протидії домашньому насильству. До спеціальних заходів щодо протидії домашньому насильству належать: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1) терміновий заборонний припис стосовно кривдника (виноситься уповноваженими підрозділами органів Національної поліції України);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2) обмежувальний припис стосовно кривдника (видається судом);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3) взяття на профілактичний облік кривдника та проведення з ним профілактичної роботи (здійснюється уповноваженими підрозділами органу Національної поліції України);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4) направлення кривдника на проходження програми для кривдників (відповідальними за виконання програм для кривдників, є місцеві державні адміністрації та органи місцевого самоврядування).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Розглянемо особливості деяких із основних спеціальних заходів, на які слід більше звернути увагу.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Терміновий заборонний припис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виноситься кривднику уповноваженими підрозділами органів Національної поліції України у разі існування безпосередньої загрози життю чи здоров’ю постраждалої особи з метою негайного припинення домашнього насильства, недопущення його продовження чи повторного вчинення.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Терміновий заборонний припис може містити такі заходи: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1) зобов’язання залишити місце проживання (перебування) постраждалої особи;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2) заборона на вхід та перебування в місці проживання (перебування) постраждалої особи;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3) заборона в будь-який спосіб контактувати з постраждалою особою.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Під час вирішення питання про винесення термінового заборонного припису пріоритет надається безпеці постраждалої особи.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>Вимога поширюється на місце спільного проживання постраждалої особи та кривдника незалежно від того, чи належить таке помешкання одному з них на праві власності, чи дане помешкання є орендованим, або право на квартиру/будинок належить родичам, знайомим тощо.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Терміновий заборонний припис виноситься строком до 10 діб за заявою постраждалої особи, а також за власною ініціативою працівником уповноваженого підрозділу органів Національної поліції України за результатами оцінки ризиків.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Особа, стосовно якої винесено терміновий заборонний припис, може оскаржити його до суду.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</w:rPr>
        <w:t>Обмежувальний припис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видається судом у порядку, встановленому Цивільним процесуальним кодексом України.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Право звернутися до суду із заявою про видачу обмежувального припису стосовно кривдника мають: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1) постраждала особа або її представник;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2) у разі вчинення домашнього насильства стосовно дитини – батьки або інші законні представники дитини, родичі дитини (баба, дід, повнолітні брат, сестра), мачуха або вітчим дитини, а також орган опіки та піклування;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3) у разі вчинення домашнього насильства стосовно недієздатної особи – опікун, орган опіки та піклування.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Заява про видачу обмежувального припису подається до суду за місцем проживання (перебування) особи, яка постраждала від домашнього насильства або насильства за ознакою статі, а якщо зазначена особа перебуває у закладі, що належить до загальних чи спеціалізованих служб підтримки постраждалих осіб, – за місцезнаходженням цього закладу.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Обмежувальний припис видається на строк від 1 до 6 місяців та може бути продовжений судом на строк не більше 6 місяців. Таке продовження має місце лише один раз.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Судом визначається один чи декілька заходів тимчасового обмеження прав кривдника або покладення на нього наступних обов’язків: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1)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заборона перебувати в місці спільного проживання (перебування) з постраждалою особою;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2)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усунення перешкод у користуванні майном, що є об’єктом права спільної сумісної власності або особистою приватною власністю постраждалої особи;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3)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обмеження спілкування з постраждалою дитиною;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4) 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заборона наближатися на визначену відстань до місця проживання (перебування), навчання, роботи, інших місць частого відвідування постраждалою особою;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5)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заборона особисто і через третіх осіб розшукувати постраждалу особу, якщо вона за власним бажанням перебуває у місці, невідомому кривднику, переслідувати її та в будь-який спосіб спілкуватися з нею;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6)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 заборона вести листування, телефонні переговори з постраждалою особою або контактувати з нею через інші засоби зв’язку особисто і через третіх осіб.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Про видачу обмежувального припису кривднику суддя у встановлений законом строк інформує уповноважені підрозділи органів Національної поліції України за місцем проживання (перебування) постраждалої особи для взяття кривдника на профілактичний облік, а також районні, районні у містах Києві і Севастополі державні адміністрації та виконавчі органи сільських, селищних, міських, районних у містах рад за місцем проживання (перебування) постраждалої особи.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Обмежувальний припис не може містити заходів, що обмежують право проживання чи перебування кривдника у місці свого постійного проживання (перебування), якщо кривдником є особа, яка не досягла вісімнадцятирічного віку на день видачі такого припису.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 xml:space="preserve">Постраждала особа може вимагати від кривдника компенсації її витрат на лікування, отримання консультацій або на оренду житла, яке вона винаймає (винаймала) з метою </w:t>
      </w: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lastRenderedPageBreak/>
        <w:t>запобігання вчиненню стосовно неї домашнього насильства, а також періодичних витрат на її утримання, утримання дітей чи інших членів сім’ї, які перебувають (перебували) на утриманні кривдника, у порядку, передбаченому законодавством.</w:t>
      </w:r>
    </w:p>
    <w:p w:rsidR="008A7EAF" w:rsidRDefault="008A7EAF" w:rsidP="008A7E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/>
        </w:rPr>
      </w:pPr>
      <w:r w:rsidRPr="008A7EAF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>Таким чином, законодавство запроваджує нові заходи, які можуть бути застосовані до кривдника у разі здійснення ним домашнього насильства, або погрози його здійснення. Такі заходи мають захищати осіб, які постраждали від домашнього насилля та попереджувати таке насилля.</w:t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en-US"/>
        </w:rPr>
      </w:pPr>
      <w:r>
        <w:rPr>
          <w:noProof/>
        </w:rPr>
        <w:drawing>
          <wp:inline distT="0" distB="0" distL="0" distR="0">
            <wp:extent cx="5940425" cy="3342479"/>
            <wp:effectExtent l="19050" t="0" r="3175" b="0"/>
            <wp:docPr id="18" name="Рисунок 18" descr="https://gdb.rferl.org/BC2C992F-695B-4F73-8126-A66B5C990D08_w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db.rferl.org/BC2C992F-695B-4F73-8126-A66B5C990D08_w15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EAF" w:rsidRPr="008A7EAF" w:rsidRDefault="008A7EAF" w:rsidP="008A7EA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272F03" w:rsidRDefault="00272F03"/>
    <w:sectPr w:rsidR="00272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C8F"/>
    <w:multiLevelType w:val="multilevel"/>
    <w:tmpl w:val="3A12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4359D"/>
    <w:multiLevelType w:val="multilevel"/>
    <w:tmpl w:val="7996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C586F"/>
    <w:multiLevelType w:val="multilevel"/>
    <w:tmpl w:val="D424F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85037"/>
    <w:multiLevelType w:val="multilevel"/>
    <w:tmpl w:val="141CC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F670D7"/>
    <w:multiLevelType w:val="multilevel"/>
    <w:tmpl w:val="7B04B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A7EAF"/>
    <w:rsid w:val="00272F03"/>
    <w:rsid w:val="008A7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A7E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E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A7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A7EAF"/>
    <w:rPr>
      <w:color w:val="0000FF"/>
      <w:u w:val="single"/>
    </w:rPr>
  </w:style>
  <w:style w:type="character" w:styleId="a5">
    <w:name w:val="Emphasis"/>
    <w:basedOn w:val="a0"/>
    <w:uiPriority w:val="20"/>
    <w:qFormat/>
    <w:rsid w:val="008A7E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7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229-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1503</Words>
  <Characters>8573</Characters>
  <Application>Microsoft Office Word</Application>
  <DocSecurity>0</DocSecurity>
  <Lines>71</Lines>
  <Paragraphs>20</Paragraphs>
  <ScaleCrop>false</ScaleCrop>
  <Company>Reanimator Extreme Edition</Company>
  <LinksUpToDate>false</LinksUpToDate>
  <CharactersWithSpaces>10056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2020-08-23T13:05:00Z</dcterms:created>
  <dcterms:modified xsi:type="dcterms:W3CDTF">2020-08-23T13:10:00Z</dcterms:modified>
</cp:coreProperties>
</file>