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C" w:rsidRPr="00CD6F4E" w:rsidRDefault="00A859AC" w:rsidP="00A859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РЕГУЛЯТОРНОГО ВПЛИВУ</w:t>
      </w:r>
      <w:r w:rsidRPr="00CD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proofErr w:type="spellStart"/>
      <w:r w:rsidRPr="00CD6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«Про затвердження Порядку розміщення зовнішньої реклами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ради»</w:t>
      </w:r>
    </w:p>
    <w:p w:rsidR="00A859AC" w:rsidRPr="002C33ED" w:rsidRDefault="00A859AC" w:rsidP="00A8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C3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Визначення проблеми</w:t>
      </w:r>
    </w:p>
    <w:p w:rsidR="00A859AC" w:rsidRDefault="00A859AC" w:rsidP="00A85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Згідно Закону України  «Про добровільне об’єднання територіальних громад»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приєднано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Мизівську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Поліську,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Нововижвівську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Галиновільську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Седлищенську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 ради. Згідно розпорядження Кабінету Міністрів України від 12 червня 2020 року №708-р «Про визначення адміністративних центрів та затвердження територій територіальних громад Волинської області»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увійшла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Старогутівська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рада.</w:t>
      </w:r>
    </w:p>
    <w:p w:rsidR="00A859AC" w:rsidRDefault="00A859AC" w:rsidP="00A85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 26.12.2016 року №11/4 «Про Порядок розміщення зовнішньої реклами на території селищної ради» розповсюджувалось тільки на території 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Вижівка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села Бідки та Мельники. В даний час до територіальної громади увійшло 17 населених пунктів. З метою однакового регулювання адміністративних відносин між суб’єктами господарювання, що бажають розміщувати  в різних населених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зовнішню рекламу,  виникла необхідність прийняття нового регуляторного акту.</w:t>
      </w:r>
    </w:p>
    <w:p w:rsidR="00A859AC" w:rsidRDefault="00A859AC" w:rsidP="00A859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рішення «Про затвердження Порядку розміщення зовнішньої реклами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ради»  визначить його дію на всі 17 населених пунктів територіальної громади, порядок визначення розміру плати за тимчасове користування місцями розташування рекламних засобів, що перебувають у комунальній власності.</w:t>
      </w:r>
    </w:p>
    <w:p w:rsidR="00A859AC" w:rsidRPr="005D32D1" w:rsidRDefault="00A859AC" w:rsidP="00A8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підгрупи, на які проблема справляє вплив: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2833"/>
        <w:gridCol w:w="2440"/>
      </w:tblGrid>
      <w:tr w:rsidR="00A859AC" w:rsidRPr="0061102A" w:rsidTr="005F1F4F">
        <w:tc>
          <w:tcPr>
            <w:tcW w:w="227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859AC" w:rsidRPr="0061102A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ідгрупи</w:t>
            </w:r>
            <w:proofErr w:type="spellEnd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9AC" w:rsidRPr="0061102A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59AC" w:rsidRPr="0061102A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</w:p>
        </w:tc>
      </w:tr>
      <w:tr w:rsidR="00A859AC" w:rsidRPr="0061102A" w:rsidTr="005F1F4F">
        <w:tc>
          <w:tcPr>
            <w:tcW w:w="2273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A859AC" w:rsidRPr="0061102A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  <w:proofErr w:type="spellEnd"/>
          </w:p>
        </w:tc>
        <w:tc>
          <w:tcPr>
            <w:tcW w:w="1465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A859AC" w:rsidRPr="005D32D1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263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A859AC" w:rsidRPr="0061102A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9AC" w:rsidRPr="0061102A" w:rsidTr="005F1F4F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9AC" w:rsidRPr="00C664D2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9AC" w:rsidRPr="005D32D1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9AC" w:rsidRPr="0061102A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9AC" w:rsidRPr="0061102A" w:rsidTr="005F1F4F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61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розповсюджувачі зовнішньої</w:t>
            </w:r>
          </w:p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реклами</w:t>
            </w:r>
          </w:p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 місцевого самоврядування</w:t>
            </w:r>
          </w:p>
          <w:p w:rsidR="00A859AC" w:rsidRPr="005D32D1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59AC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  <w:p w:rsidR="00A859AC" w:rsidRPr="005D32D1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9AC" w:rsidRPr="0061102A" w:rsidRDefault="00A859AC" w:rsidP="005F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59AC" w:rsidRPr="005C43CB" w:rsidRDefault="00A859AC" w:rsidP="00A859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Зазначена проблема не може бути розв’язана за допомогою ринкових механізмів та діючих регуляторних актів, так як статтею 16 Закону України «Про рекламу» передбачено, що розміщення зовнішньої реклами у населених пунктах провадиться на підставі дозволів, що надається виконавчим комітетом селищної ради та в порядку, встановленому цими органами на підставі Правил, що затверджуються Кабінетом Міністрів України. Пунктом 3 Типових правил розміщення зовнішньої реклами, затверджених постановою Кабінету Міністрів України від 29.12.2003 року №2067 передбачено, що зовнішня реклама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розміщується на підставі дозволів та у порядку, встановленому виконавчими органами сільських, селищних, міських рад відповідно до цих Правил. Тобто, до компетенції місцевих рад відноситься питання встановлення порядку розміщення зовнішньої реклами на території місцевої ради.</w:t>
      </w:r>
    </w:p>
    <w:p w:rsidR="00A859AC" w:rsidRPr="002C33ED" w:rsidRDefault="00A859AC" w:rsidP="00A8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proofErr w:type="spellStart"/>
      <w:proofErr w:type="gramStart"/>
      <w:r w:rsidRPr="002C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2C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ілі</w:t>
      </w:r>
      <w:proofErr w:type="spellEnd"/>
      <w:r w:rsidRPr="002C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державного </w:t>
      </w:r>
      <w:proofErr w:type="spellStart"/>
      <w:r w:rsidRPr="002C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регулювання</w:t>
      </w:r>
      <w:proofErr w:type="spellEnd"/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регуляторного акту «Про затвердження Порядку розміщення зовнішньої реклами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ради»  спрямований  на розв’язання проблеми, зазначеної у попередньому розділі АРВ.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цілями прийняття акту є: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створення єдиної цілісної, впорядкованої , структурованої та прозорої системи у сфері розміщення зовнішньої реклами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яка б відповідала вимогам діючого законодавства шляхом затвердження радою зазначеного нормативного акту;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збільшення надходжень до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 у вигляді плати за користування місцями розміщення зовнішньої реклами,що перебувають у комунальній власності;</w:t>
      </w:r>
    </w:p>
    <w:p w:rsidR="00A859AC" w:rsidRPr="00EA7F7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вдосконалення відносин між селищною радою та суб’єктами господарювання у сфері розміщення зовнішньої реклами.</w:t>
      </w:r>
    </w:p>
    <w:p w:rsidR="00A859AC" w:rsidRPr="00E23F40" w:rsidRDefault="00A859AC" w:rsidP="00A859AC">
      <w:pPr>
        <w:spacing w:after="0" w:line="240" w:lineRule="auto"/>
        <w:rPr>
          <w:rFonts w:ascii="Arial" w:eastAsia="Times New Roman" w:hAnsi="Arial" w:cs="Arial"/>
          <w:sz w:val="35"/>
          <w:szCs w:val="35"/>
          <w:lang w:val="uk-UA" w:eastAsia="ru-RU"/>
        </w:rPr>
      </w:pPr>
    </w:p>
    <w:p w:rsidR="00A859AC" w:rsidRDefault="00A859AC" w:rsidP="00A859AC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A859AC" w:rsidRPr="002C33ED" w:rsidRDefault="00A859AC" w:rsidP="00A859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3ED">
        <w:rPr>
          <w:rFonts w:ascii="Times New Roman" w:hAnsi="Times New Roman" w:cs="Times New Roman"/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A859AC" w:rsidRPr="00126EE8" w:rsidRDefault="00A859AC" w:rsidP="00A859A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6EE8">
        <w:rPr>
          <w:rFonts w:ascii="Times New Roman" w:hAnsi="Times New Roman" w:cs="Times New Roman"/>
          <w:b/>
          <w:i/>
          <w:sz w:val="28"/>
          <w:szCs w:val="28"/>
          <w:lang w:val="uk-UA"/>
        </w:rPr>
        <w:t>1. Визначення альтернативних способів</w:t>
      </w:r>
    </w:p>
    <w:p w:rsidR="00A859AC" w:rsidRDefault="00A859AC" w:rsidP="00A859AC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A859AC" w:rsidRDefault="00A859AC" w:rsidP="00A859AC">
      <w:pPr>
        <w:ind w:firstLine="708"/>
        <w:jc w:val="center"/>
        <w:rPr>
          <w:b/>
          <w:i/>
          <w:sz w:val="28"/>
          <w:szCs w:val="28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5387"/>
      </w:tblGrid>
      <w:tr w:rsidR="00A859AC" w:rsidTr="005F1F4F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Вид альтернативи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Опис альтернативи</w:t>
            </w:r>
          </w:p>
        </w:tc>
      </w:tr>
      <w:tr w:rsidR="00A859AC" w:rsidTr="005F1F4F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859AC" w:rsidRPr="00126EE8" w:rsidTr="005F1F4F">
        <w:trPr>
          <w:trHeight w:val="386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707C64" w:rsidRDefault="00A859AC" w:rsidP="005F1F4F">
            <w:pPr>
              <w:pStyle w:val="a6"/>
              <w:spacing w:line="244" w:lineRule="auto"/>
              <w:rPr>
                <w:rFonts w:eastAsia="Calibri"/>
                <w:sz w:val="24"/>
                <w:szCs w:val="24"/>
              </w:rPr>
            </w:pPr>
            <w:r w:rsidRPr="00707C64">
              <w:rPr>
                <w:sz w:val="24"/>
                <w:szCs w:val="24"/>
              </w:rPr>
              <w:t>Альтернатива 1</w:t>
            </w:r>
          </w:p>
          <w:p w:rsidR="00A859AC" w:rsidRPr="00707C64" w:rsidRDefault="00A859AC" w:rsidP="005F1F4F">
            <w:pPr>
              <w:pStyle w:val="a6"/>
              <w:spacing w:line="244" w:lineRule="auto"/>
              <w:jc w:val="both"/>
              <w:rPr>
                <w:sz w:val="24"/>
                <w:szCs w:val="24"/>
                <w:lang w:eastAsia="ru-RU"/>
              </w:rPr>
            </w:pPr>
            <w:r w:rsidRPr="00707C64">
              <w:rPr>
                <w:sz w:val="24"/>
                <w:szCs w:val="24"/>
                <w:lang w:eastAsia="ru-RU"/>
              </w:rPr>
              <w:t>Не прийняття регуляторного акту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707C64" w:rsidRDefault="00A859AC" w:rsidP="005F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Ця альтернатива передбачає залишення існуючої ситуації без змін та здійснювати розміщення зовнішньої реклами на території селищної ради згідно рішення селищної ради від 26.12.2016 року №11/4 «Про Порядок розміщення зовнішньої реклами на території селищної ради». Проте ця ситуація буде призводити до втрат селищного бюджету. Оскільки рішення буде розповсюджуватись на 3 населені пункти: </w:t>
            </w:r>
            <w:proofErr w:type="spellStart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Стара </w:t>
            </w:r>
            <w:proofErr w:type="spellStart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Вижівка</w:t>
            </w:r>
            <w:proofErr w:type="spellEnd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села </w:t>
            </w:r>
            <w:proofErr w:type="spellStart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Брідки</w:t>
            </w:r>
            <w:proofErr w:type="spellEnd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Мельники. Суб’єкти господарювання в решті 14 населених пунктів не зможуть розповсюджувати рекламу та виконавчий комітет селищної ради матиме ознаки порушення законодавства про захист економічної конкуренції.</w:t>
            </w:r>
          </w:p>
          <w:p w:rsidR="00A859AC" w:rsidRPr="00707C64" w:rsidRDefault="00A859AC" w:rsidP="005F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Визначені у розділі 2 АРВ цілі не можуть бути досягнуті за допомогою ринкових механізмів, </w:t>
            </w: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оскільки останні не мають імперативного ( загальнообов’язкового) характеру та не передбачають урахування вимог та інтересів суб’єктів</w:t>
            </w:r>
          </w:p>
          <w:p w:rsidR="00A859AC" w:rsidRPr="00707C64" w:rsidRDefault="00A859AC" w:rsidP="005F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 у сері розповсюдження зовнішньої реклами.</w:t>
            </w:r>
          </w:p>
          <w:p w:rsidR="00A859AC" w:rsidRPr="00707C64" w:rsidRDefault="00A859AC" w:rsidP="005F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застосування інших засобів розв’язання проблеми, може бути визнано таким, що суперечить чинному законодавству та є неприпустимим.</w:t>
            </w:r>
          </w:p>
        </w:tc>
      </w:tr>
      <w:tr w:rsidR="00A859AC" w:rsidRPr="00DF166F" w:rsidTr="005F1F4F">
        <w:trPr>
          <w:trHeight w:val="9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707C64" w:rsidRDefault="00A859AC" w:rsidP="005F1F4F">
            <w:pPr>
              <w:pStyle w:val="a6"/>
              <w:spacing w:line="244" w:lineRule="auto"/>
              <w:rPr>
                <w:rFonts w:eastAsia="Calibri"/>
                <w:sz w:val="24"/>
                <w:szCs w:val="24"/>
              </w:rPr>
            </w:pPr>
            <w:r w:rsidRPr="00707C64">
              <w:rPr>
                <w:sz w:val="24"/>
                <w:szCs w:val="24"/>
              </w:rPr>
              <w:lastRenderedPageBreak/>
              <w:t>Альтернатива 2</w:t>
            </w:r>
          </w:p>
          <w:p w:rsidR="00A859AC" w:rsidRPr="00707C64" w:rsidRDefault="00A859AC" w:rsidP="005F1F4F">
            <w:pPr>
              <w:pStyle w:val="a6"/>
              <w:spacing w:line="244" w:lineRule="auto"/>
              <w:jc w:val="both"/>
              <w:rPr>
                <w:sz w:val="24"/>
                <w:szCs w:val="24"/>
                <w:lang w:eastAsia="ru-RU"/>
              </w:rPr>
            </w:pPr>
            <w:r w:rsidRPr="00707C64">
              <w:rPr>
                <w:sz w:val="24"/>
                <w:szCs w:val="24"/>
                <w:lang w:eastAsia="ru-RU"/>
              </w:rPr>
              <w:t>Прийняття даного регуляторного акту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707C64" w:rsidRDefault="00A859AC" w:rsidP="005F1F4F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рішення ради «Про затвердження Порядку розміщення зовнішньої реклами на території </w:t>
            </w:r>
            <w:proofErr w:type="spellStart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Старовижівської</w:t>
            </w:r>
            <w:proofErr w:type="spellEnd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ради» дозволить розв’язати визначену проблему в цілому.</w:t>
            </w:r>
          </w:p>
          <w:p w:rsidR="00A859AC" w:rsidRPr="00707C64" w:rsidRDefault="00A859AC" w:rsidP="005F1F4F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Даний регуляторний акт дозволить врегулювати питання, пов’язані з : організацією взаємодії між розповсюджувачами зовнішньої реклами, органами місцевого самоврядування та державними органами; створенням системи контролю за дотриманням порядку розміщення зовнішньої реклами, встановленням порядку плати за тимчасове користування місцями розміщення об’єктів зовнішньої реклами на території 17 населених пунктів, що входять до </w:t>
            </w:r>
            <w:proofErr w:type="spellStart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Старовижівської</w:t>
            </w:r>
            <w:proofErr w:type="spellEnd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громади. Порівняно з існуючою ситуацією цей регуляторний акт сприятиме виключенню ситуацій, пов’язаних з можливими корупційними діями, неофіційними витратами розповсюджувачів зовнішньої реклами та створить прозору систему прийняття рішень виконавчого комітету </w:t>
            </w:r>
            <w:proofErr w:type="spellStart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Старовижівської</w:t>
            </w:r>
            <w:proofErr w:type="spellEnd"/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про надання або відмову у наданні дозволів на розміщення зовнішньої реклами.</w:t>
            </w:r>
          </w:p>
          <w:p w:rsidR="00A859AC" w:rsidRPr="00707C64" w:rsidRDefault="00A859AC" w:rsidP="005F1F4F">
            <w:pPr>
              <w:spacing w:line="244" w:lineRule="auto"/>
              <w:jc w:val="both"/>
              <w:rPr>
                <w:sz w:val="24"/>
                <w:szCs w:val="24"/>
                <w:lang w:val="uk-UA"/>
              </w:rPr>
            </w:pPr>
            <w:r w:rsidRPr="00707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такого регуляторного акта забезпечить досягнення цілей, починаючи з моменту введення в дію акта. Відповідає потребам у розв’язанні визначеної проблеми та принципам державної регуляторної політики.</w:t>
            </w:r>
          </w:p>
        </w:tc>
      </w:tr>
    </w:tbl>
    <w:p w:rsidR="00A859AC" w:rsidRDefault="00A859AC" w:rsidP="00A859AC">
      <w:pPr>
        <w:widowControl w:val="0"/>
        <w:ind w:firstLine="708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</w:p>
    <w:p w:rsidR="00A859AC" w:rsidRDefault="00A859AC" w:rsidP="00A859AC">
      <w:pPr>
        <w:pStyle w:val="a6"/>
        <w:jc w:val="center"/>
        <w:rPr>
          <w:b/>
          <w:i/>
          <w:sz w:val="28"/>
          <w:szCs w:val="28"/>
        </w:rPr>
      </w:pPr>
    </w:p>
    <w:p w:rsidR="00A859AC" w:rsidRDefault="00A859AC" w:rsidP="00A859AC">
      <w:pPr>
        <w:pStyle w:val="a6"/>
        <w:jc w:val="center"/>
        <w:rPr>
          <w:b/>
          <w:i/>
          <w:sz w:val="28"/>
          <w:szCs w:val="28"/>
        </w:rPr>
      </w:pPr>
    </w:p>
    <w:p w:rsidR="00A859AC" w:rsidRDefault="00A859AC" w:rsidP="00A859AC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Оцінка  вибраних альтернативних способів досягнення цілей</w:t>
      </w:r>
    </w:p>
    <w:p w:rsidR="00A859AC" w:rsidRDefault="00A859AC" w:rsidP="00A859AC">
      <w:pPr>
        <w:pStyle w:val="a6"/>
        <w:jc w:val="center"/>
        <w:rPr>
          <w:b/>
          <w:i/>
          <w:sz w:val="16"/>
          <w:szCs w:val="16"/>
        </w:rPr>
      </w:pPr>
    </w:p>
    <w:p w:rsidR="00A859AC" w:rsidRDefault="00A859AC" w:rsidP="00A859AC">
      <w:pPr>
        <w:pStyle w:val="a6"/>
        <w:jc w:val="center"/>
        <w:rPr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Оцінка впливу на сферу інтересів держави (органів місцевого самоврядування)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3402"/>
      </w:tblGrid>
      <w:tr w:rsidR="00A859AC" w:rsidTr="005F1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Вид альтернативи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Вигоди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Витрати</w:t>
            </w:r>
          </w:p>
        </w:tc>
      </w:tr>
      <w:tr w:rsidR="00A859AC" w:rsidTr="005F1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859AC" w:rsidRPr="00D10CFF" w:rsidTr="005F1F4F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707C64" w:rsidRDefault="00A859AC" w:rsidP="005F1F4F">
            <w:pPr>
              <w:pStyle w:val="a6"/>
              <w:jc w:val="both"/>
              <w:rPr>
                <w:sz w:val="24"/>
                <w:szCs w:val="24"/>
              </w:rPr>
            </w:pPr>
            <w:r w:rsidRPr="00707C64">
              <w:rPr>
                <w:rFonts w:eastAsia="Times New Roman"/>
                <w:sz w:val="24"/>
                <w:szCs w:val="24"/>
                <w:lang w:eastAsia="ru-RU"/>
              </w:rPr>
              <w:t xml:space="preserve">Не має. Бюджет селищної ради не </w:t>
            </w:r>
            <w:proofErr w:type="spellStart"/>
            <w:r w:rsidRPr="00707C64">
              <w:rPr>
                <w:rFonts w:eastAsia="Times New Roman"/>
                <w:sz w:val="24"/>
                <w:szCs w:val="24"/>
                <w:lang w:eastAsia="ru-RU"/>
              </w:rPr>
              <w:t>доотримає</w:t>
            </w:r>
            <w:proofErr w:type="spellEnd"/>
            <w:r w:rsidRPr="00707C64">
              <w:rPr>
                <w:rFonts w:eastAsia="Times New Roman"/>
                <w:sz w:val="24"/>
                <w:szCs w:val="24"/>
                <w:lang w:eastAsia="ru-RU"/>
              </w:rPr>
              <w:t xml:space="preserve"> додаткові кошти за розміщення зовнішньої реклами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707C64" w:rsidRDefault="00A859AC" w:rsidP="005F1F4F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Відсутні</w:t>
            </w:r>
          </w:p>
        </w:tc>
      </w:tr>
      <w:tr w:rsidR="00A859AC" w:rsidTr="005F1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707C64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07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.Поповнення місцевого бюджету. За 2019 рік до бюджету селищної ради надійшло коштів за розміщення зовнішньої реклами 13030,94 коп.;</w:t>
            </w:r>
          </w:p>
          <w:p w:rsidR="00A859AC" w:rsidRPr="00707C64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2020 рік – 12933,94 коп.</w:t>
            </w:r>
          </w:p>
          <w:p w:rsidR="00A859AC" w:rsidRPr="00707C64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2.У випадку прийняття рішення додатково надійдуть кошти до бюджету.</w:t>
            </w:r>
          </w:p>
          <w:p w:rsidR="00A859AC" w:rsidRPr="00707C64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7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Виконання обов’язків, покладених на органи місцевого самоврядування згідно Закону України «Про рекламу»</w:t>
            </w:r>
          </w:p>
          <w:p w:rsidR="00A859AC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4.Створення прозорої системи прийняття рішень селищною радою про надання дозволів на розміщення реклами</w:t>
            </w:r>
          </w:p>
          <w:p w:rsidR="00A859AC" w:rsidRPr="00EE2EF8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spacing w:line="23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Витрати, пов’язані з прийняттям рішення.</w:t>
            </w:r>
          </w:p>
        </w:tc>
      </w:tr>
    </w:tbl>
    <w:p w:rsidR="00A859AC" w:rsidRDefault="00A859AC" w:rsidP="00A859AC">
      <w:pPr>
        <w:pStyle w:val="a6"/>
        <w:spacing w:line="232" w:lineRule="auto"/>
        <w:jc w:val="center"/>
        <w:rPr>
          <w:rFonts w:eastAsia="Calibri"/>
          <w:b/>
          <w:i/>
          <w:sz w:val="28"/>
          <w:szCs w:val="28"/>
          <w:lang w:eastAsia="ru-RU"/>
        </w:rPr>
      </w:pPr>
    </w:p>
    <w:p w:rsidR="00A859AC" w:rsidRDefault="00A859AC" w:rsidP="00A859AC">
      <w:pPr>
        <w:pStyle w:val="a6"/>
        <w:spacing w:line="232" w:lineRule="auto"/>
        <w:jc w:val="center"/>
        <w:rPr>
          <w:b/>
          <w:i/>
          <w:sz w:val="28"/>
          <w:szCs w:val="28"/>
        </w:rPr>
      </w:pPr>
    </w:p>
    <w:p w:rsidR="00A859AC" w:rsidRDefault="00A859AC" w:rsidP="00A859AC">
      <w:pPr>
        <w:pStyle w:val="a6"/>
        <w:spacing w:line="23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Оцінка впливу на сферу інтересів громадян</w:t>
      </w:r>
    </w:p>
    <w:p w:rsidR="00A859AC" w:rsidRDefault="00A859AC" w:rsidP="00A859AC">
      <w:pPr>
        <w:pStyle w:val="a6"/>
        <w:spacing w:line="232" w:lineRule="auto"/>
        <w:jc w:val="center"/>
        <w:rPr>
          <w:b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3827"/>
      </w:tblGrid>
      <w:tr w:rsidR="00A859AC" w:rsidTr="005F1F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Вид альтернативи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Вигоди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Витрати</w:t>
            </w:r>
          </w:p>
        </w:tc>
      </w:tr>
      <w:tr w:rsidR="00A859AC" w:rsidTr="005F1F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rStyle w:val="2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2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</w:tr>
      <w:tr w:rsidR="00A859AC" w:rsidRPr="00D10CFF" w:rsidTr="005F1F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707C64" w:rsidRDefault="00A859AC" w:rsidP="005F1F4F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Не має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707C64" w:rsidRDefault="00A859AC" w:rsidP="005F1F4F">
            <w:pPr>
              <w:pStyle w:val="a7"/>
              <w:spacing w:before="0" w:beforeAutospacing="0" w:after="0" w:afterAutospacing="0" w:line="252" w:lineRule="auto"/>
              <w:jc w:val="both"/>
              <w:rPr>
                <w:lang w:val="uk-UA"/>
              </w:rPr>
            </w:pPr>
            <w:r w:rsidRPr="00707C64">
              <w:rPr>
                <w:lang w:val="uk-UA"/>
              </w:rPr>
              <w:t>Відсутність можливості користуватись пільгами, встановленими рішеннями місцевої ради</w:t>
            </w:r>
          </w:p>
        </w:tc>
      </w:tr>
      <w:tr w:rsidR="00A859AC" w:rsidTr="005F1F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spacing w:line="23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EE2EF8" w:rsidRDefault="00A859AC" w:rsidP="005F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бюджету селищної ради додатково надійдуть кошти, що дасть можливість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приймати соціальні програми на задоволення запитів жителів територіальної громади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spacing w:line="23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Витрати, пов’язані із прийняттям рішення</w:t>
            </w:r>
          </w:p>
        </w:tc>
      </w:tr>
    </w:tbl>
    <w:p w:rsidR="00A859AC" w:rsidRDefault="00A859AC" w:rsidP="00A859AC">
      <w:pPr>
        <w:pStyle w:val="a6"/>
        <w:jc w:val="center"/>
        <w:rPr>
          <w:rFonts w:eastAsia="Calibri"/>
          <w:b/>
          <w:i/>
          <w:sz w:val="28"/>
          <w:szCs w:val="28"/>
          <w:lang w:eastAsia="ru-RU"/>
        </w:rPr>
      </w:pPr>
    </w:p>
    <w:p w:rsidR="00A859AC" w:rsidRPr="00C5461B" w:rsidRDefault="00A859AC" w:rsidP="00A859AC">
      <w:pPr>
        <w:pStyle w:val="a6"/>
        <w:spacing w:line="249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Оцінка впливу на сферу інтересів суб’єктів господарювання</w:t>
      </w:r>
      <w:r>
        <w:rPr>
          <w:b/>
          <w:i/>
          <w:sz w:val="24"/>
          <w:szCs w:val="24"/>
        </w:rPr>
        <w:t xml:space="preserve"> ( взято дані із паспорту району)</w:t>
      </w:r>
    </w:p>
    <w:p w:rsidR="00A859AC" w:rsidRDefault="00A859AC" w:rsidP="00A859AC">
      <w:pPr>
        <w:pStyle w:val="12"/>
        <w:spacing w:line="249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994"/>
        <w:gridCol w:w="1134"/>
        <w:gridCol w:w="848"/>
        <w:gridCol w:w="858"/>
        <w:gridCol w:w="908"/>
      </w:tblGrid>
      <w:tr w:rsidR="00A859AC" w:rsidTr="005F1F4F"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A859AC" w:rsidTr="005F1F4F">
        <w:trPr>
          <w:trHeight w:val="713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Розрахункова кількість суб’єктів </w:t>
            </w:r>
            <w:proofErr w:type="spellStart"/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господа-рювання</w:t>
            </w:r>
            <w:proofErr w:type="spellEnd"/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підпадають під дію </w:t>
            </w:r>
            <w:proofErr w:type="spellStart"/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регулю-вання</w:t>
            </w:r>
            <w:proofErr w:type="spellEnd"/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одиниць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9AC" w:rsidRPr="002A3A95" w:rsidRDefault="00A859AC" w:rsidP="005F1F4F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9AC" w:rsidTr="005F1F4F"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групи в загальній кількості, відсотків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Pr="002A3A95" w:rsidRDefault="00A859AC" w:rsidP="005F1F4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859AC" w:rsidRDefault="00A859AC" w:rsidP="00A859AC">
      <w:pPr>
        <w:pStyle w:val="a6"/>
        <w:jc w:val="right"/>
        <w:rPr>
          <w:i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70"/>
        <w:gridCol w:w="3260"/>
      </w:tblGrid>
      <w:tr w:rsidR="00A859AC" w:rsidTr="005F1F4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Вид альтернативи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Вигоди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</w:rPr>
              <w:t>Витрати</w:t>
            </w:r>
          </w:p>
        </w:tc>
      </w:tr>
      <w:tr w:rsidR="00A859AC" w:rsidTr="005F1F4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859AC" w:rsidTr="005F1F4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має. Суб’єкти господарювання не матимуть можливості розповсюджувати зовнішню рекламу у 14 населених пунктів, що приєднані до </w:t>
            </w:r>
            <w:proofErr w:type="spellStart"/>
            <w:r>
              <w:rPr>
                <w:sz w:val="24"/>
                <w:szCs w:val="24"/>
                <w:lang w:eastAsia="ru-RU"/>
              </w:rPr>
              <w:t>Старовижівської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територіальної громади.</w:t>
            </w:r>
          </w:p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Суб’єкти господарювання не </w:t>
            </w:r>
            <w:proofErr w:type="spellStart"/>
            <w:r>
              <w:rPr>
                <w:sz w:val="24"/>
                <w:szCs w:val="24"/>
                <w:lang w:eastAsia="ru-RU"/>
              </w:rPr>
              <w:t>доотримають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додаткові доходи.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Default="00A859AC" w:rsidP="005F1F4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Відсутні. </w:t>
            </w:r>
          </w:p>
        </w:tc>
      </w:tr>
      <w:tr w:rsidR="00A859AC" w:rsidRPr="00126EE8" w:rsidTr="005F1F4F">
        <w:trPr>
          <w:trHeight w:val="318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Default="00A859AC" w:rsidP="005F1F4F">
            <w:pPr>
              <w:pStyle w:val="a7"/>
              <w:spacing w:before="0" w:beforeAutospacing="0" w:after="0" w:afterAutospacing="0"/>
              <w:jc w:val="both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Інформація суб’єктів господарювання комерційного характеру буде доступна для всіх жителів територіальної громади.</w:t>
            </w:r>
          </w:p>
          <w:p w:rsidR="00A859AC" w:rsidRPr="002A3A95" w:rsidRDefault="00A859AC" w:rsidP="005F1F4F">
            <w:pPr>
              <w:pStyle w:val="a7"/>
              <w:spacing w:before="0" w:beforeAutospacing="0" w:after="0" w:afterAutospacing="0"/>
              <w:jc w:val="both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Право на розповсюдження  зовнішньої реклами суб’єкти господарювання матимуть у всіх 17 населених пунктах територіальної громади.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C" w:rsidRDefault="00A859AC" w:rsidP="005F1F4F">
            <w:pPr>
              <w:pStyle w:val="a3"/>
              <w:tabs>
                <w:tab w:val="left" w:pos="22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Часові витрати на ознайомлення із рішенням та поданням необхідних документів для отримання дозволу.</w:t>
            </w:r>
          </w:p>
          <w:p w:rsidR="00A859AC" w:rsidRDefault="00A859AC" w:rsidP="005F1F4F">
            <w:pPr>
              <w:pStyle w:val="a6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859AC" w:rsidRDefault="00A859AC" w:rsidP="00A859AC">
      <w:pPr>
        <w:pStyle w:val="a6"/>
        <w:jc w:val="center"/>
        <w:rPr>
          <w:rFonts w:eastAsia="Calibri"/>
          <w:sz w:val="28"/>
          <w:szCs w:val="28"/>
          <w:lang w:eastAsia="ru-RU"/>
        </w:rPr>
      </w:pPr>
    </w:p>
    <w:p w:rsidR="00A859AC" w:rsidRDefault="00A859AC" w:rsidP="00A859AC">
      <w:pPr>
        <w:pStyle w:val="a6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Визначений  проектом рішення розмір плати за розміщення зовнішньої реклами є однаковий для всіх суб’єктів господарювання.</w:t>
      </w:r>
    </w:p>
    <w:p w:rsidR="00A859AC" w:rsidRDefault="00A859AC" w:rsidP="00A859AC">
      <w:pPr>
        <w:pStyle w:val="a6"/>
        <w:spacing w:line="244" w:lineRule="auto"/>
        <w:jc w:val="both"/>
        <w:rPr>
          <w:sz w:val="28"/>
          <w:szCs w:val="28"/>
        </w:rPr>
      </w:pPr>
    </w:p>
    <w:p w:rsidR="00A859AC" w:rsidRDefault="00A859AC" w:rsidP="00A859AC">
      <w:pPr>
        <w:pStyle w:val="a6"/>
        <w:spacing w:line="244" w:lineRule="auto"/>
        <w:jc w:val="center"/>
        <w:rPr>
          <w:b/>
          <w:sz w:val="28"/>
          <w:szCs w:val="28"/>
        </w:rPr>
      </w:pPr>
      <w:r w:rsidRPr="002C33ED">
        <w:rPr>
          <w:b/>
          <w:sz w:val="28"/>
          <w:szCs w:val="28"/>
        </w:rPr>
        <w:t>І</w:t>
      </w:r>
      <w:r w:rsidRPr="002C33ED">
        <w:rPr>
          <w:b/>
          <w:sz w:val="28"/>
          <w:szCs w:val="28"/>
          <w:lang w:val="en-US"/>
        </w:rPr>
        <w:t>V</w:t>
      </w:r>
      <w:r w:rsidRPr="002C33ED">
        <w:rPr>
          <w:b/>
          <w:sz w:val="28"/>
          <w:szCs w:val="28"/>
          <w:lang w:val="ru-RU"/>
        </w:rPr>
        <w:t>.</w:t>
      </w:r>
      <w:r w:rsidRPr="002C33ED">
        <w:rPr>
          <w:b/>
          <w:sz w:val="28"/>
          <w:szCs w:val="28"/>
        </w:rPr>
        <w:t xml:space="preserve"> Вибір найбільш оптимального альтернативного способу досягнення цілей.</w:t>
      </w:r>
    </w:p>
    <w:p w:rsidR="00A859AC" w:rsidRDefault="00A859AC" w:rsidP="00A859AC">
      <w:pPr>
        <w:pStyle w:val="a6"/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селищною радою регуляторного акту «Про затвердження Порядку розміщення зовнішньої реклами на території </w:t>
      </w:r>
      <w:proofErr w:type="spellStart"/>
      <w:r>
        <w:rPr>
          <w:sz w:val="28"/>
          <w:szCs w:val="28"/>
        </w:rPr>
        <w:t>Старовижівської</w:t>
      </w:r>
      <w:proofErr w:type="spellEnd"/>
      <w:r>
        <w:rPr>
          <w:sz w:val="28"/>
          <w:szCs w:val="28"/>
        </w:rPr>
        <w:t xml:space="preserve"> селищної ради усуне проблему, яка зазначена в пункті 1 АРВ. Оцінка -4.</w:t>
      </w:r>
    </w:p>
    <w:p w:rsidR="00A859AC" w:rsidRDefault="00A859AC" w:rsidP="00A859AC">
      <w:pPr>
        <w:pStyle w:val="a6"/>
        <w:spacing w:line="244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Залишення на даний час існуючої ситуації без змін матиме для </w:t>
      </w:r>
      <w:proofErr w:type="spellStart"/>
      <w:r>
        <w:rPr>
          <w:sz w:val="28"/>
          <w:szCs w:val="28"/>
        </w:rPr>
        <w:t>Старовижівської</w:t>
      </w:r>
      <w:proofErr w:type="spellEnd"/>
      <w:r>
        <w:rPr>
          <w:sz w:val="28"/>
          <w:szCs w:val="28"/>
        </w:rPr>
        <w:t xml:space="preserve"> селищної ради ознаки порушення законодавства про захист економічної конкуренції. Оцінка -1.</w:t>
      </w:r>
    </w:p>
    <w:p w:rsidR="00A859AC" w:rsidRDefault="00A859AC" w:rsidP="00A859AC">
      <w:pPr>
        <w:pStyle w:val="a6"/>
        <w:spacing w:line="244" w:lineRule="auto"/>
        <w:ind w:firstLine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644"/>
      </w:tblGrid>
      <w:tr w:rsidR="00A859AC" w:rsidTr="005F1F4F">
        <w:tc>
          <w:tcPr>
            <w:tcW w:w="2518" w:type="dxa"/>
          </w:tcPr>
          <w:p w:rsidR="00A859AC" w:rsidRPr="00B632CB" w:rsidRDefault="00A859AC" w:rsidP="005F1F4F">
            <w:pPr>
              <w:pStyle w:val="a6"/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результативності ( досягнення цілей) під час вирішення проблеми</w:t>
            </w:r>
          </w:p>
        </w:tc>
        <w:tc>
          <w:tcPr>
            <w:tcW w:w="2693" w:type="dxa"/>
          </w:tcPr>
          <w:p w:rsidR="00A859AC" w:rsidRPr="00B632CB" w:rsidRDefault="00A859AC" w:rsidP="005F1F4F">
            <w:pPr>
              <w:pStyle w:val="a6"/>
              <w:spacing w:line="244" w:lineRule="auto"/>
              <w:jc w:val="both"/>
              <w:rPr>
                <w:sz w:val="24"/>
                <w:szCs w:val="24"/>
              </w:rPr>
            </w:pPr>
            <w:r w:rsidRPr="00B632CB">
              <w:rPr>
                <w:sz w:val="24"/>
                <w:szCs w:val="24"/>
              </w:rPr>
              <w:t>Бал результативності ( за чотирибальною си</w:t>
            </w:r>
            <w:r>
              <w:rPr>
                <w:sz w:val="24"/>
                <w:szCs w:val="24"/>
              </w:rPr>
              <w:t>ст</w:t>
            </w:r>
            <w:r w:rsidRPr="00B632CB">
              <w:rPr>
                <w:sz w:val="24"/>
                <w:szCs w:val="24"/>
              </w:rPr>
              <w:t>емою оцінки)</w:t>
            </w:r>
          </w:p>
        </w:tc>
        <w:tc>
          <w:tcPr>
            <w:tcW w:w="4644" w:type="dxa"/>
          </w:tcPr>
          <w:p w:rsidR="00A859AC" w:rsidRPr="00B632CB" w:rsidRDefault="00A859AC" w:rsidP="005F1F4F">
            <w:pPr>
              <w:pStyle w:val="a6"/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A859AC" w:rsidTr="005F1F4F">
        <w:tc>
          <w:tcPr>
            <w:tcW w:w="2518" w:type="dxa"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59AC" w:rsidTr="005F1F4F">
        <w:tc>
          <w:tcPr>
            <w:tcW w:w="2518" w:type="dxa"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2693" w:type="dxa"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A859AC" w:rsidRDefault="00A859AC" w:rsidP="005F1F4F">
            <w:pPr>
              <w:pStyle w:val="a6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діяльності виконавчого комітету будуть ознаки порушення законодавства про захист економічної конкуренції</w:t>
            </w:r>
          </w:p>
        </w:tc>
      </w:tr>
      <w:tr w:rsidR="00A859AC" w:rsidTr="005F1F4F">
        <w:tc>
          <w:tcPr>
            <w:tcW w:w="2518" w:type="dxa"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2693" w:type="dxa"/>
          </w:tcPr>
          <w:p w:rsidR="00A859AC" w:rsidRDefault="00A859AC" w:rsidP="005F1F4F">
            <w:pPr>
              <w:pStyle w:val="a6"/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:rsidR="00A859AC" w:rsidRDefault="00A859AC" w:rsidP="005F1F4F">
            <w:pPr>
              <w:pStyle w:val="a6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буде діяти згідно вимог Закону України «Про рекламу», тому найвища оцінка .</w:t>
            </w:r>
          </w:p>
        </w:tc>
      </w:tr>
    </w:tbl>
    <w:p w:rsidR="00A859AC" w:rsidRPr="002C33ED" w:rsidRDefault="00A859AC" w:rsidP="00A859AC">
      <w:pPr>
        <w:pStyle w:val="a6"/>
        <w:spacing w:line="244" w:lineRule="auto"/>
        <w:ind w:firstLine="142"/>
        <w:jc w:val="both"/>
        <w:rPr>
          <w:sz w:val="28"/>
          <w:szCs w:val="28"/>
        </w:rPr>
      </w:pPr>
    </w:p>
    <w:p w:rsidR="00A859AC" w:rsidRDefault="00A859AC" w:rsidP="00A859AC">
      <w:pPr>
        <w:pStyle w:val="a6"/>
        <w:spacing w:line="244" w:lineRule="auto"/>
        <w:jc w:val="both"/>
        <w:rPr>
          <w:sz w:val="28"/>
          <w:szCs w:val="28"/>
        </w:rPr>
      </w:pPr>
    </w:p>
    <w:p w:rsidR="00A859AC" w:rsidRDefault="00A859AC" w:rsidP="00A859AC">
      <w:pPr>
        <w:pStyle w:val="a6"/>
        <w:spacing w:line="232" w:lineRule="auto"/>
        <w:jc w:val="center"/>
        <w:rPr>
          <w:rFonts w:eastAsia="Calibri"/>
          <w:b/>
          <w:i/>
          <w:sz w:val="28"/>
          <w:szCs w:val="28"/>
          <w:lang w:eastAsia="ru-RU"/>
        </w:rPr>
      </w:pPr>
    </w:p>
    <w:p w:rsidR="00A859AC" w:rsidRDefault="00A859AC" w:rsidP="00A859AC">
      <w:pPr>
        <w:pStyle w:val="a6"/>
        <w:spacing w:line="23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3C162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Механізм та заходи, які забезпечать розв’язання визначеної проблеми.</w:t>
      </w:r>
      <w:proofErr w:type="gramEnd"/>
    </w:p>
    <w:p w:rsidR="00A859AC" w:rsidRPr="002072D7" w:rsidRDefault="00A859AC" w:rsidP="00A8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рекламних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мети,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представляють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селищної ради</w:t>
      </w: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9AC" w:rsidRPr="003C162D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правового акту,</w:t>
      </w: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чинного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спростити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удосконалити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прозорим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всій території селищної ради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proofErr w:type="gramEnd"/>
    </w:p>
    <w:p w:rsidR="00A859AC" w:rsidRPr="002072D7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ефективного </w:t>
      </w: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селищної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9AC" w:rsidRPr="002D35E7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АРВ, проектом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Pr="007C4DF4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регуляторного акта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розміщення зовнішньої реклами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даному рішенні затверджено розрахунок плати за розміщення зовнішньої реклами та форму Договору.</w:t>
      </w:r>
    </w:p>
    <w:p w:rsidR="00A859AC" w:rsidRDefault="00A859AC" w:rsidP="00A8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регуляторного акта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простору,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 рекламного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ізаційні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для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59AC" w:rsidRPr="007C4DF4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Pr="002072D7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заходи: 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враховуючи захворюваність жителів територіальної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30A20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пропозиції від суб’єктів господарювання та жителів територіальної громади приймаються в електронні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59AC" w:rsidRPr="002072D7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</w:t>
      </w: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зпечити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шляхом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на офіційному веб-сайті селищної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0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30A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VI</w:t>
      </w:r>
      <w:r w:rsidRPr="00F30A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ab/>
        <w:t xml:space="preserve">Тест малого підприємництва ( М-Тест ) додається. </w:t>
      </w: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VII. </w:t>
      </w:r>
      <w:proofErr w:type="spellStart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Обґрунтування</w:t>
      </w:r>
      <w:proofErr w:type="spellEnd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запропонованого</w:t>
      </w:r>
      <w:proofErr w:type="spellEnd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строку </w:t>
      </w:r>
      <w:proofErr w:type="spellStart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регуляторного акта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ab/>
        <w:t>Строк дії регуляторного акту встановлюється на необмежений термін, так як відносини щодо розміщення зовнішньої реклами мають постійний характер.</w:t>
      </w: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ab/>
        <w:t>У разі змін у чинному законодавстві, що впливатимуть на дію цього регуляторного акту, до нього будуть вноситись відповідні коригування.</w:t>
      </w:r>
    </w:p>
    <w:p w:rsidR="00A859AC" w:rsidRPr="005F1364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VIII. </w:t>
      </w:r>
      <w:proofErr w:type="spellStart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Визначення</w:t>
      </w:r>
      <w:proofErr w:type="spellEnd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показників</w:t>
      </w:r>
      <w:proofErr w:type="spellEnd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результативності</w:t>
      </w:r>
      <w:proofErr w:type="spellEnd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5F1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регуляторного акта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859AC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A859AC" w:rsidRPr="00AA1704" w:rsidRDefault="00A859AC" w:rsidP="00A859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цілей державного регулювання,  визначних у другому розділі АРВ, для відзначення результативності регуляторного акта обрані такі показники: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статистичні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комунальній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селища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грн.; 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одержали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виданих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9AC" w:rsidRPr="000D58D6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59AC" w:rsidRPr="005D609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D6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оказники соціологічних досліджень:</w:t>
      </w:r>
    </w:p>
    <w:p w:rsidR="00A859AC" w:rsidRPr="005D609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6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поінформованості суб’єктів господарювання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</w:t>
      </w:r>
      <w:r w:rsidRPr="005D6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 об’єктів зовнішньої реклами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5D6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,%;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A859AC" w:rsidRPr="000521A3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Pr="000521A3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статистичних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селищного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комунальній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13030,94 грн.;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Pr="005F1364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рік – 12933,94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proofErr w:type="spellEnd"/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одержали 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диниць</w:t>
      </w:r>
      <w:proofErr w:type="spellEnd"/>
    </w:p>
    <w:p w:rsidR="00A859AC" w:rsidRPr="005F1364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виданих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диниць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Pr="00347761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A859AC" w:rsidRPr="00347761" w:rsidRDefault="00A859AC" w:rsidP="00A85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Pr="005F1364" w:rsidRDefault="00A859AC" w:rsidP="00A85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n101"/>
      <w:bookmarkStart w:id="1" w:name="n102"/>
      <w:bookmarkEnd w:id="0"/>
      <w:bookmarkEnd w:id="1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IX.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</w:t>
      </w:r>
      <w:proofErr w:type="gram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допомогою</w:t>
      </w:r>
      <w:proofErr w:type="spell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здійснюватиметься</w:t>
      </w:r>
      <w:proofErr w:type="spell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відстеження</w:t>
      </w:r>
      <w:proofErr w:type="spell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результативності</w:t>
      </w:r>
      <w:proofErr w:type="spell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  <w:r w:rsidRPr="005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регуляторного акта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здійснюватиметься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акта. 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проведено не </w:t>
      </w:r>
      <w:proofErr w:type="spellStart"/>
      <w:proofErr w:type="gram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регуляторним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актом.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попередньому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АРВ,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буде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вома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методами: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статистичним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соціологічним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рамках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статистичного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проведено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статистичної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селища</w:t>
      </w: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>є</w:t>
      </w:r>
      <w:r w:rsidRPr="0005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місцями розміщення об’єктів зовнішньої реклами, що перебувають у комунальній власності територіальної громади; </w:t>
      </w:r>
      <w:proofErr w:type="gramEnd"/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одержали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виданих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 проведено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зверталися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селищної ради </w:t>
      </w: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</w:t>
      </w:r>
      <w:proofErr w:type="gram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озміщення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попередньому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АРВ 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іологічними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ільова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організаційно-правової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особи-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розміщують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зовнішню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на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іологічне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8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працівниками виконавчого комітету селищної ради</w:t>
      </w: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Pr="008B040B" w:rsidRDefault="00A859AC" w:rsidP="00A8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AC" w:rsidRPr="005F1364" w:rsidRDefault="00A859AC" w:rsidP="00A8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AC" w:rsidRPr="005F1364" w:rsidRDefault="00A859AC" w:rsidP="00A85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9AC" w:rsidRPr="003C162D" w:rsidRDefault="00A859AC" w:rsidP="00A859AC">
      <w:pPr>
        <w:pStyle w:val="a6"/>
        <w:spacing w:line="232" w:lineRule="auto"/>
        <w:jc w:val="center"/>
        <w:rPr>
          <w:sz w:val="28"/>
          <w:szCs w:val="28"/>
        </w:rPr>
      </w:pPr>
    </w:p>
    <w:p w:rsidR="00A859AC" w:rsidRDefault="00A859AC" w:rsidP="00A859A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59AC" w:rsidRDefault="00A859AC" w:rsidP="00A859A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Default="00A859AC" w:rsidP="00A859AC">
      <w:pPr>
        <w:rPr>
          <w:lang w:val="uk-UA" w:eastAsia="ru-RU"/>
        </w:rPr>
      </w:pPr>
    </w:p>
    <w:p w:rsidR="00A859AC" w:rsidRPr="00925C30" w:rsidRDefault="00A859AC" w:rsidP="00A859AC">
      <w:pPr>
        <w:rPr>
          <w:lang w:val="uk-UA" w:eastAsia="ru-RU"/>
        </w:rPr>
      </w:pPr>
    </w:p>
    <w:p w:rsidR="00A859AC" w:rsidRPr="00925C30" w:rsidRDefault="00A859AC" w:rsidP="00A859AC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925C30"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Pr="00925C30">
        <w:rPr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Pr="00925C30">
        <w:rPr>
          <w:rFonts w:ascii="Times New Roman" w:hAnsi="Times New Roman"/>
          <w:color w:val="000000"/>
          <w:sz w:val="28"/>
          <w:szCs w:val="28"/>
        </w:rPr>
        <w:t>ТЕСТ</w:t>
      </w:r>
    </w:p>
    <w:p w:rsidR="00A859AC" w:rsidRPr="00925C30" w:rsidRDefault="00A859AC" w:rsidP="00A859AC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925C30">
        <w:rPr>
          <w:rStyle w:val="a9"/>
          <w:color w:val="000000"/>
          <w:sz w:val="28"/>
          <w:szCs w:val="28"/>
        </w:rPr>
        <w:t xml:space="preserve">малого </w:t>
      </w:r>
      <w:proofErr w:type="spellStart"/>
      <w:proofErr w:type="gramStart"/>
      <w:r w:rsidRPr="00925C30">
        <w:rPr>
          <w:rStyle w:val="a9"/>
          <w:color w:val="000000"/>
          <w:sz w:val="28"/>
          <w:szCs w:val="28"/>
        </w:rPr>
        <w:t>п</w:t>
      </w:r>
      <w:proofErr w:type="gramEnd"/>
      <w:r w:rsidRPr="00925C30">
        <w:rPr>
          <w:rStyle w:val="a9"/>
          <w:color w:val="000000"/>
          <w:sz w:val="28"/>
          <w:szCs w:val="28"/>
        </w:rPr>
        <w:t>ідприємництва</w:t>
      </w:r>
      <w:proofErr w:type="spellEnd"/>
      <w:r w:rsidRPr="00925C30">
        <w:rPr>
          <w:rStyle w:val="a9"/>
          <w:color w:val="000000"/>
          <w:sz w:val="28"/>
          <w:szCs w:val="28"/>
        </w:rPr>
        <w:t xml:space="preserve"> (М-Тест)</w:t>
      </w:r>
    </w:p>
    <w:p w:rsidR="00A859AC" w:rsidRPr="00925C30" w:rsidRDefault="00A859AC" w:rsidP="00A859A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25C30">
        <w:rPr>
          <w:color w:val="000000"/>
          <w:sz w:val="28"/>
          <w:szCs w:val="28"/>
        </w:rPr>
        <w:t>1.  </w:t>
      </w:r>
      <w:proofErr w:type="spellStart"/>
      <w:r w:rsidRPr="00925C30">
        <w:rPr>
          <w:color w:val="000000"/>
          <w:sz w:val="28"/>
          <w:szCs w:val="28"/>
        </w:rPr>
        <w:t>Консультації</w:t>
      </w:r>
      <w:proofErr w:type="spellEnd"/>
      <w:r w:rsidRPr="00925C30">
        <w:rPr>
          <w:color w:val="000000"/>
          <w:sz w:val="28"/>
          <w:szCs w:val="28"/>
        </w:rPr>
        <w:t xml:space="preserve"> з </w:t>
      </w:r>
      <w:proofErr w:type="spellStart"/>
      <w:r w:rsidRPr="00925C30">
        <w:rPr>
          <w:color w:val="000000"/>
          <w:sz w:val="28"/>
          <w:szCs w:val="28"/>
        </w:rPr>
        <w:t>представниками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мікр</w:t>
      </w:r>
      <w:proofErr w:type="gramStart"/>
      <w:r w:rsidRPr="00925C30">
        <w:rPr>
          <w:color w:val="000000"/>
          <w:sz w:val="28"/>
          <w:szCs w:val="28"/>
        </w:rPr>
        <w:t>о</w:t>
      </w:r>
      <w:proofErr w:type="spellEnd"/>
      <w:r w:rsidRPr="00925C30">
        <w:rPr>
          <w:color w:val="000000"/>
          <w:sz w:val="28"/>
          <w:szCs w:val="28"/>
        </w:rPr>
        <w:t>-</w:t>
      </w:r>
      <w:proofErr w:type="gramEnd"/>
      <w:r w:rsidRPr="00925C30">
        <w:rPr>
          <w:color w:val="000000"/>
          <w:sz w:val="28"/>
          <w:szCs w:val="28"/>
        </w:rPr>
        <w:t xml:space="preserve"> та малого </w:t>
      </w:r>
      <w:proofErr w:type="spellStart"/>
      <w:r w:rsidRPr="00925C30">
        <w:rPr>
          <w:color w:val="000000"/>
          <w:sz w:val="28"/>
          <w:szCs w:val="28"/>
        </w:rPr>
        <w:t>підприємництва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щодо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оцінки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впливу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регулювання</w:t>
      </w:r>
      <w:proofErr w:type="spellEnd"/>
      <w:r w:rsidRPr="00925C30">
        <w:rPr>
          <w:color w:val="000000"/>
          <w:sz w:val="28"/>
          <w:szCs w:val="28"/>
        </w:rPr>
        <w:t>.</w:t>
      </w:r>
    </w:p>
    <w:p w:rsidR="00A859AC" w:rsidRPr="00925C30" w:rsidRDefault="00A859AC" w:rsidP="00A859A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25C30">
        <w:rPr>
          <w:color w:val="000000"/>
          <w:sz w:val="28"/>
          <w:szCs w:val="28"/>
        </w:rPr>
        <w:t>Консультації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щодо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визначення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впливу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запропонованого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регулювання</w:t>
      </w:r>
      <w:proofErr w:type="spellEnd"/>
      <w:r w:rsidRPr="00925C30">
        <w:rPr>
          <w:color w:val="000000"/>
          <w:sz w:val="28"/>
          <w:szCs w:val="28"/>
        </w:rPr>
        <w:t xml:space="preserve"> на </w:t>
      </w:r>
      <w:proofErr w:type="spellStart"/>
      <w:r w:rsidRPr="00925C30">
        <w:rPr>
          <w:color w:val="000000"/>
          <w:sz w:val="28"/>
          <w:szCs w:val="28"/>
        </w:rPr>
        <w:t>суб’єктів</w:t>
      </w:r>
      <w:proofErr w:type="spellEnd"/>
      <w:r w:rsidRPr="00925C30">
        <w:rPr>
          <w:color w:val="000000"/>
          <w:sz w:val="28"/>
          <w:szCs w:val="28"/>
        </w:rPr>
        <w:t xml:space="preserve"> малого </w:t>
      </w:r>
      <w:proofErr w:type="spellStart"/>
      <w:proofErr w:type="gramStart"/>
      <w:r w:rsidRPr="00925C30">
        <w:rPr>
          <w:color w:val="000000"/>
          <w:sz w:val="28"/>
          <w:szCs w:val="28"/>
        </w:rPr>
        <w:t>п</w:t>
      </w:r>
      <w:proofErr w:type="gramEnd"/>
      <w:r w:rsidRPr="00925C30">
        <w:rPr>
          <w:color w:val="000000"/>
          <w:sz w:val="28"/>
          <w:szCs w:val="28"/>
        </w:rPr>
        <w:t>ідприємництва</w:t>
      </w:r>
      <w:proofErr w:type="spellEnd"/>
      <w:r w:rsidRPr="00925C30">
        <w:rPr>
          <w:color w:val="000000"/>
          <w:sz w:val="28"/>
          <w:szCs w:val="28"/>
        </w:rPr>
        <w:t xml:space="preserve"> та </w:t>
      </w:r>
      <w:proofErr w:type="spellStart"/>
      <w:r w:rsidRPr="00925C30">
        <w:rPr>
          <w:color w:val="000000"/>
          <w:sz w:val="28"/>
          <w:szCs w:val="28"/>
        </w:rPr>
        <w:t>визначення</w:t>
      </w:r>
      <w:proofErr w:type="spellEnd"/>
      <w:r w:rsidRPr="00925C30">
        <w:rPr>
          <w:color w:val="000000"/>
          <w:sz w:val="28"/>
          <w:szCs w:val="28"/>
        </w:rPr>
        <w:t xml:space="preserve"> детального </w:t>
      </w:r>
      <w:proofErr w:type="spellStart"/>
      <w:r w:rsidRPr="00925C30">
        <w:rPr>
          <w:color w:val="000000"/>
          <w:sz w:val="28"/>
          <w:szCs w:val="28"/>
        </w:rPr>
        <w:t>переліку</w:t>
      </w:r>
      <w:proofErr w:type="spellEnd"/>
      <w:r w:rsidRPr="00925C30">
        <w:rPr>
          <w:color w:val="000000"/>
          <w:sz w:val="28"/>
          <w:szCs w:val="28"/>
        </w:rPr>
        <w:t xml:space="preserve"> процедур, </w:t>
      </w:r>
      <w:proofErr w:type="spellStart"/>
      <w:r w:rsidRPr="00925C30">
        <w:rPr>
          <w:color w:val="000000"/>
          <w:sz w:val="28"/>
          <w:szCs w:val="28"/>
        </w:rPr>
        <w:t>виконання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яких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необхідно</w:t>
      </w:r>
      <w:proofErr w:type="spellEnd"/>
      <w:r w:rsidRPr="00925C30">
        <w:rPr>
          <w:color w:val="000000"/>
          <w:sz w:val="28"/>
          <w:szCs w:val="28"/>
        </w:rPr>
        <w:t xml:space="preserve"> для </w:t>
      </w:r>
      <w:proofErr w:type="spellStart"/>
      <w:r w:rsidRPr="00925C30">
        <w:rPr>
          <w:color w:val="000000"/>
          <w:sz w:val="28"/>
          <w:szCs w:val="28"/>
        </w:rPr>
        <w:t>здійснення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регулювання</w:t>
      </w:r>
      <w:proofErr w:type="spellEnd"/>
      <w:r w:rsidRPr="00925C30">
        <w:rPr>
          <w:color w:val="000000"/>
          <w:sz w:val="28"/>
          <w:szCs w:val="28"/>
        </w:rPr>
        <w:t xml:space="preserve">, проведено </w:t>
      </w:r>
      <w:proofErr w:type="spellStart"/>
      <w:r w:rsidRPr="00925C30">
        <w:rPr>
          <w:color w:val="000000"/>
          <w:sz w:val="28"/>
          <w:szCs w:val="28"/>
        </w:rPr>
        <w:t>розробником</w:t>
      </w:r>
      <w:proofErr w:type="spellEnd"/>
      <w:r w:rsidRPr="00925C30">
        <w:rPr>
          <w:color w:val="000000"/>
          <w:sz w:val="28"/>
          <w:szCs w:val="28"/>
        </w:rPr>
        <w:t xml:space="preserve"> у </w:t>
      </w:r>
      <w:proofErr w:type="spellStart"/>
      <w:r w:rsidRPr="00925C30">
        <w:rPr>
          <w:color w:val="000000"/>
          <w:sz w:val="28"/>
          <w:szCs w:val="28"/>
          <w:lang w:val="uk-UA"/>
        </w:rPr>
        <w:t>лютому-</w:t>
      </w:r>
      <w:proofErr w:type="spellEnd"/>
      <w:r w:rsidRPr="00925C30">
        <w:rPr>
          <w:color w:val="000000"/>
          <w:sz w:val="28"/>
          <w:szCs w:val="28"/>
          <w:lang w:val="uk-UA"/>
        </w:rPr>
        <w:t xml:space="preserve"> квітні</w:t>
      </w:r>
      <w:r w:rsidRPr="00925C30">
        <w:rPr>
          <w:color w:val="000000"/>
          <w:sz w:val="28"/>
          <w:szCs w:val="28"/>
        </w:rPr>
        <w:t xml:space="preserve"> 20</w:t>
      </w:r>
      <w:r w:rsidRPr="00925C30">
        <w:rPr>
          <w:color w:val="000000"/>
          <w:sz w:val="28"/>
          <w:szCs w:val="28"/>
          <w:lang w:val="uk-UA"/>
        </w:rPr>
        <w:t xml:space="preserve">21 </w:t>
      </w:r>
      <w:r w:rsidRPr="00925C30">
        <w:rPr>
          <w:color w:val="000000"/>
          <w:sz w:val="28"/>
          <w:szCs w:val="28"/>
        </w:rPr>
        <w:t>року.</w:t>
      </w:r>
    </w:p>
    <w:p w:rsidR="00A859AC" w:rsidRPr="00925C30" w:rsidRDefault="00A859AC" w:rsidP="00A859A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25C30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4612"/>
        <w:gridCol w:w="3458"/>
      </w:tblGrid>
      <w:tr w:rsidR="00A859AC" w:rsidRPr="00925C30" w:rsidTr="005F1F4F">
        <w:trPr>
          <w:trHeight w:val="1725"/>
          <w:tblCellSpacing w:w="0" w:type="dxa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Порядковий</w:t>
            </w:r>
            <w:proofErr w:type="spellEnd"/>
            <w:r w:rsidRPr="00925C30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6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 xml:space="preserve">Вид </w:t>
            </w:r>
            <w:proofErr w:type="spellStart"/>
            <w:r w:rsidRPr="00925C30">
              <w:rPr>
                <w:sz w:val="28"/>
                <w:szCs w:val="28"/>
              </w:rPr>
              <w:t>консультації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публічні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консультації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прямі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круглі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столи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наради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робочі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зустрічі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тощо</w:t>
            </w:r>
            <w:proofErr w:type="spellEnd"/>
            <w:r w:rsidRPr="00925C30">
              <w:rPr>
                <w:sz w:val="28"/>
                <w:szCs w:val="28"/>
              </w:rPr>
              <w:t xml:space="preserve">), </w:t>
            </w:r>
            <w:proofErr w:type="spellStart"/>
            <w:r w:rsidRPr="00925C30">
              <w:rPr>
                <w:sz w:val="28"/>
                <w:szCs w:val="28"/>
              </w:rPr>
              <w:t>інтерне</w:t>
            </w:r>
            <w:proofErr w:type="gramStart"/>
            <w:r w:rsidRPr="00925C30">
              <w:rPr>
                <w:sz w:val="28"/>
                <w:szCs w:val="28"/>
              </w:rPr>
              <w:t>т</w:t>
            </w:r>
            <w:proofErr w:type="spellEnd"/>
            <w:r w:rsidRPr="00925C30">
              <w:rPr>
                <w:sz w:val="28"/>
                <w:szCs w:val="28"/>
              </w:rPr>
              <w:t>-</w:t>
            </w:r>
            <w:proofErr w:type="gram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консультації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прямі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інтернет-форуми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соціальні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мережі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тощо</w:t>
            </w:r>
            <w:proofErr w:type="spellEnd"/>
            <w:r w:rsidRPr="00925C30">
              <w:rPr>
                <w:sz w:val="28"/>
                <w:szCs w:val="28"/>
              </w:rPr>
              <w:t xml:space="preserve">), </w:t>
            </w:r>
            <w:proofErr w:type="spellStart"/>
            <w:r w:rsidRPr="00925C30">
              <w:rPr>
                <w:sz w:val="28"/>
                <w:szCs w:val="28"/>
              </w:rPr>
              <w:t>запити</w:t>
            </w:r>
            <w:proofErr w:type="spellEnd"/>
            <w:r w:rsidRPr="00925C30">
              <w:rPr>
                <w:sz w:val="28"/>
                <w:szCs w:val="28"/>
              </w:rPr>
              <w:t xml:space="preserve"> (до </w:t>
            </w:r>
            <w:proofErr w:type="spellStart"/>
            <w:r w:rsidRPr="00925C30">
              <w:rPr>
                <w:sz w:val="28"/>
                <w:szCs w:val="28"/>
              </w:rPr>
              <w:t>підприємців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експертів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науковців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тощо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Кількість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учасників</w:t>
            </w:r>
            <w:proofErr w:type="spellEnd"/>
            <w:r w:rsidRPr="00925C30">
              <w:rPr>
                <w:sz w:val="28"/>
                <w:szCs w:val="28"/>
              </w:rPr>
              <w:t> </w:t>
            </w:r>
            <w:proofErr w:type="spellStart"/>
            <w:r w:rsidRPr="00925C30">
              <w:rPr>
                <w:spacing w:val="-1"/>
                <w:sz w:val="28"/>
                <w:szCs w:val="28"/>
              </w:rPr>
              <w:t>консультацій</w:t>
            </w:r>
            <w:proofErr w:type="spellEnd"/>
            <w:r w:rsidRPr="00925C30">
              <w:rPr>
                <w:spacing w:val="-1"/>
                <w:sz w:val="28"/>
                <w:szCs w:val="28"/>
              </w:rPr>
              <w:t>, </w:t>
            </w:r>
            <w:proofErr w:type="spellStart"/>
            <w:proofErr w:type="gramStart"/>
            <w:r w:rsidRPr="00925C30">
              <w:rPr>
                <w:sz w:val="28"/>
                <w:szCs w:val="28"/>
              </w:rPr>
              <w:t>осіб</w:t>
            </w:r>
            <w:proofErr w:type="spellEnd"/>
            <w:proofErr w:type="gramEnd"/>
          </w:p>
        </w:tc>
      </w:tr>
      <w:tr w:rsidR="00A859AC" w:rsidRPr="00925C30" w:rsidTr="005F1F4F">
        <w:trPr>
          <w:trHeight w:val="615"/>
          <w:tblCellSpacing w:w="0" w:type="dxa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8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8" w:lineRule="atLeast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</w:rPr>
              <w:t> </w:t>
            </w:r>
            <w:r w:rsidRPr="00925C30">
              <w:rPr>
                <w:sz w:val="28"/>
                <w:szCs w:val="28"/>
                <w:lang w:val="uk-UA"/>
              </w:rPr>
              <w:t xml:space="preserve">У зв’язку із поширенням захворюваності </w:t>
            </w:r>
            <w:r w:rsidRPr="00925C30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925C30">
              <w:rPr>
                <w:color w:val="333333"/>
                <w:sz w:val="28"/>
                <w:szCs w:val="28"/>
              </w:rPr>
              <w:t>COVID</w:t>
            </w:r>
            <w:r w:rsidRPr="00925C30">
              <w:rPr>
                <w:color w:val="333333"/>
                <w:sz w:val="28"/>
                <w:szCs w:val="28"/>
                <w:lang w:val="uk-UA"/>
              </w:rPr>
              <w:t>-19</w:t>
            </w:r>
            <w:r w:rsidRPr="00925C30">
              <w:rPr>
                <w:sz w:val="28"/>
                <w:szCs w:val="28"/>
                <w:lang w:val="uk-UA"/>
              </w:rPr>
              <w:t xml:space="preserve">  консультації проводились в телефонному режимі та було опубліковано на офіційному сайті селищної ради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  <w:lang w:val="uk-UA"/>
              </w:rPr>
              <w:t>-</w:t>
            </w:r>
          </w:p>
        </w:tc>
      </w:tr>
      <w:tr w:rsidR="00A859AC" w:rsidRPr="00925C30" w:rsidTr="005F1F4F">
        <w:trPr>
          <w:trHeight w:val="2010"/>
          <w:tblCellSpacing w:w="0" w:type="dxa"/>
        </w:trPr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Основні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результати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консультацій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опис</w:t>
            </w:r>
            <w:proofErr w:type="spellEnd"/>
            <w:r w:rsidRPr="00925C30">
              <w:rPr>
                <w:sz w:val="28"/>
                <w:szCs w:val="28"/>
              </w:rPr>
              <w:t>):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25C30">
              <w:rPr>
                <w:sz w:val="28"/>
                <w:szCs w:val="28"/>
              </w:rPr>
              <w:t>Доведення</w:t>
            </w:r>
            <w:proofErr w:type="spellEnd"/>
            <w:r w:rsidRPr="00925C30">
              <w:rPr>
                <w:sz w:val="28"/>
                <w:szCs w:val="28"/>
              </w:rPr>
              <w:t> </w:t>
            </w:r>
            <w:r w:rsidRPr="00925C30">
              <w:rPr>
                <w:spacing w:val="-4"/>
                <w:sz w:val="28"/>
                <w:szCs w:val="28"/>
              </w:rPr>
              <w:t>до</w:t>
            </w:r>
            <w:r w:rsidRPr="00925C3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відома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r w:rsidRPr="00925C30">
              <w:rPr>
                <w:sz w:val="28"/>
                <w:szCs w:val="28"/>
                <w:lang w:val="uk-UA"/>
              </w:rPr>
              <w:t xml:space="preserve">суб’єктів господарювання розрахунки </w:t>
            </w:r>
            <w:r w:rsidRPr="00925C30">
              <w:rPr>
                <w:sz w:val="28"/>
                <w:szCs w:val="28"/>
              </w:rPr>
              <w:t xml:space="preserve"> та </w:t>
            </w:r>
            <w:proofErr w:type="spellStart"/>
            <w:r w:rsidRPr="00925C30">
              <w:rPr>
                <w:sz w:val="28"/>
                <w:szCs w:val="28"/>
              </w:rPr>
              <w:t>обґрунтування</w:t>
            </w:r>
            <w:proofErr w:type="spellEnd"/>
            <w:r w:rsidRPr="00925C30">
              <w:rPr>
                <w:sz w:val="28"/>
                <w:szCs w:val="28"/>
              </w:rPr>
              <w:t xml:space="preserve">  </w:t>
            </w:r>
            <w:proofErr w:type="spellStart"/>
            <w:r w:rsidRPr="00925C30">
              <w:rPr>
                <w:sz w:val="28"/>
                <w:szCs w:val="28"/>
              </w:rPr>
              <w:t>необхідності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прийняття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даного</w:t>
            </w:r>
            <w:proofErr w:type="spellEnd"/>
            <w:r w:rsidRPr="00925C30">
              <w:rPr>
                <w:sz w:val="28"/>
                <w:szCs w:val="28"/>
              </w:rPr>
              <w:t xml:space="preserve"> регуляторного акту</w:t>
            </w:r>
            <w:r w:rsidRPr="00925C30">
              <w:rPr>
                <w:sz w:val="28"/>
                <w:szCs w:val="28"/>
                <w:lang w:val="uk-UA"/>
              </w:rPr>
              <w:t xml:space="preserve">, ознайомлено із </w:t>
            </w:r>
            <w:r>
              <w:rPr>
                <w:sz w:val="28"/>
                <w:szCs w:val="28"/>
                <w:lang w:val="uk-UA"/>
              </w:rPr>
              <w:t xml:space="preserve">сумою </w:t>
            </w:r>
            <w:r w:rsidRPr="00925C30">
              <w:rPr>
                <w:sz w:val="28"/>
                <w:szCs w:val="28"/>
                <w:lang w:val="uk-UA"/>
              </w:rPr>
              <w:t xml:space="preserve">надходження до бюджету </w:t>
            </w:r>
            <w:r>
              <w:rPr>
                <w:sz w:val="28"/>
                <w:szCs w:val="28"/>
                <w:lang w:val="uk-UA"/>
              </w:rPr>
              <w:t xml:space="preserve">плати за розміщення зовнішньої реклами </w:t>
            </w:r>
            <w:r w:rsidRPr="00925C30">
              <w:rPr>
                <w:sz w:val="28"/>
                <w:szCs w:val="28"/>
                <w:lang w:val="uk-UA"/>
              </w:rPr>
              <w:t xml:space="preserve"> у 2019 та 2020 році, надано порівняльний аналіз.</w:t>
            </w:r>
            <w:proofErr w:type="gramEnd"/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</w:tbl>
    <w:p w:rsidR="00A859AC" w:rsidRPr="00925C30" w:rsidRDefault="00A859AC" w:rsidP="00A859A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25C30">
        <w:rPr>
          <w:color w:val="000000"/>
          <w:sz w:val="28"/>
          <w:szCs w:val="28"/>
        </w:rPr>
        <w:t>2.       </w:t>
      </w:r>
      <w:proofErr w:type="spellStart"/>
      <w:r w:rsidRPr="00925C30">
        <w:rPr>
          <w:color w:val="000000"/>
          <w:sz w:val="28"/>
          <w:szCs w:val="28"/>
        </w:rPr>
        <w:t>Вимірювання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впливу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регулювання</w:t>
      </w:r>
      <w:proofErr w:type="spellEnd"/>
      <w:r w:rsidRPr="00925C30">
        <w:rPr>
          <w:color w:val="000000"/>
          <w:sz w:val="28"/>
          <w:szCs w:val="28"/>
        </w:rPr>
        <w:t xml:space="preserve"> на </w:t>
      </w:r>
      <w:proofErr w:type="spellStart"/>
      <w:r w:rsidRPr="00925C30">
        <w:rPr>
          <w:color w:val="000000"/>
          <w:sz w:val="28"/>
          <w:szCs w:val="28"/>
        </w:rPr>
        <w:t>суб’єктів</w:t>
      </w:r>
      <w:proofErr w:type="spellEnd"/>
      <w:r w:rsidRPr="00925C30">
        <w:rPr>
          <w:color w:val="000000"/>
          <w:sz w:val="28"/>
          <w:szCs w:val="28"/>
        </w:rPr>
        <w:t xml:space="preserve"> малого </w:t>
      </w:r>
      <w:proofErr w:type="spellStart"/>
      <w:proofErr w:type="gramStart"/>
      <w:r w:rsidRPr="00925C30">
        <w:rPr>
          <w:color w:val="000000"/>
          <w:sz w:val="28"/>
          <w:szCs w:val="28"/>
        </w:rPr>
        <w:t>п</w:t>
      </w:r>
      <w:proofErr w:type="gramEnd"/>
      <w:r w:rsidRPr="00925C30">
        <w:rPr>
          <w:color w:val="000000"/>
          <w:sz w:val="28"/>
          <w:szCs w:val="28"/>
        </w:rPr>
        <w:t>ідприємництва</w:t>
      </w:r>
      <w:proofErr w:type="spellEnd"/>
      <w:r w:rsidRPr="00925C30">
        <w:rPr>
          <w:color w:val="000000"/>
          <w:sz w:val="28"/>
          <w:szCs w:val="28"/>
        </w:rPr>
        <w:t xml:space="preserve"> (</w:t>
      </w:r>
      <w:proofErr w:type="spellStart"/>
      <w:r w:rsidRPr="00925C30">
        <w:rPr>
          <w:color w:val="000000"/>
          <w:sz w:val="28"/>
          <w:szCs w:val="28"/>
        </w:rPr>
        <w:t>мікро</w:t>
      </w:r>
      <w:proofErr w:type="spellEnd"/>
      <w:r w:rsidRPr="00925C30">
        <w:rPr>
          <w:color w:val="000000"/>
          <w:sz w:val="28"/>
          <w:szCs w:val="28"/>
        </w:rPr>
        <w:t>- та</w:t>
      </w:r>
      <w:r w:rsidRPr="00925C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малі</w:t>
      </w:r>
      <w:proofErr w:type="spellEnd"/>
      <w:r w:rsidRPr="00925C30">
        <w:rPr>
          <w:color w:val="000000"/>
          <w:sz w:val="28"/>
          <w:szCs w:val="28"/>
        </w:rPr>
        <w:t>):</w:t>
      </w:r>
    </w:p>
    <w:p w:rsidR="00A859AC" w:rsidRPr="00925C30" w:rsidRDefault="00A859AC" w:rsidP="00A859A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25C30">
        <w:rPr>
          <w:color w:val="000000"/>
          <w:sz w:val="28"/>
          <w:szCs w:val="28"/>
        </w:rPr>
        <w:t>-       </w:t>
      </w:r>
      <w:proofErr w:type="spellStart"/>
      <w:r w:rsidRPr="00925C30">
        <w:rPr>
          <w:color w:val="000000"/>
          <w:sz w:val="28"/>
          <w:szCs w:val="28"/>
        </w:rPr>
        <w:t>кількість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суб’єктів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господарювання</w:t>
      </w:r>
      <w:proofErr w:type="spellEnd"/>
      <w:r w:rsidRPr="00925C30">
        <w:rPr>
          <w:color w:val="000000"/>
          <w:sz w:val="28"/>
          <w:szCs w:val="28"/>
        </w:rPr>
        <w:t xml:space="preserve">, на </w:t>
      </w:r>
      <w:proofErr w:type="spellStart"/>
      <w:r w:rsidRPr="00925C30">
        <w:rPr>
          <w:color w:val="000000"/>
          <w:sz w:val="28"/>
          <w:szCs w:val="28"/>
        </w:rPr>
        <w:t>яких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поширюється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регулювання</w:t>
      </w:r>
      <w:proofErr w:type="spellEnd"/>
      <w:r w:rsidRPr="00925C30">
        <w:rPr>
          <w:color w:val="000000"/>
          <w:sz w:val="28"/>
          <w:szCs w:val="28"/>
        </w:rPr>
        <w:t xml:space="preserve">: </w:t>
      </w:r>
      <w:r w:rsidRPr="00925C30">
        <w:rPr>
          <w:color w:val="000000"/>
          <w:sz w:val="28"/>
          <w:szCs w:val="28"/>
          <w:lang w:val="uk-UA"/>
        </w:rPr>
        <w:t>19</w:t>
      </w:r>
      <w:r w:rsidRPr="00925C30">
        <w:rPr>
          <w:color w:val="000000"/>
          <w:sz w:val="28"/>
          <w:szCs w:val="28"/>
        </w:rPr>
        <w:t xml:space="preserve"> (</w:t>
      </w:r>
      <w:proofErr w:type="spellStart"/>
      <w:r w:rsidRPr="00925C30">
        <w:rPr>
          <w:color w:val="000000"/>
          <w:sz w:val="28"/>
          <w:szCs w:val="28"/>
        </w:rPr>
        <w:t>одиниць</w:t>
      </w:r>
      <w:proofErr w:type="spellEnd"/>
      <w:r w:rsidRPr="00925C30">
        <w:rPr>
          <w:color w:val="000000"/>
          <w:sz w:val="28"/>
          <w:szCs w:val="28"/>
        </w:rPr>
        <w:t xml:space="preserve">), з </w:t>
      </w:r>
      <w:proofErr w:type="spellStart"/>
      <w:r w:rsidRPr="00925C30">
        <w:rPr>
          <w:color w:val="000000"/>
          <w:sz w:val="28"/>
          <w:szCs w:val="28"/>
        </w:rPr>
        <w:t>яких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r w:rsidRPr="00925C30">
        <w:rPr>
          <w:color w:val="000000"/>
          <w:sz w:val="28"/>
          <w:szCs w:val="28"/>
          <w:lang w:val="uk-UA"/>
        </w:rPr>
        <w:t>0</w:t>
      </w:r>
      <w:r w:rsidRPr="00925C30">
        <w:rPr>
          <w:color w:val="000000"/>
          <w:sz w:val="28"/>
          <w:szCs w:val="28"/>
        </w:rPr>
        <w:t xml:space="preserve"> належать до </w:t>
      </w:r>
      <w:proofErr w:type="spellStart"/>
      <w:r w:rsidRPr="00925C30">
        <w:rPr>
          <w:color w:val="000000"/>
          <w:sz w:val="28"/>
          <w:szCs w:val="28"/>
        </w:rPr>
        <w:t>суб’єктів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  <w:lang w:val="uk-UA"/>
        </w:rPr>
        <w:t>мікропідприємництва</w:t>
      </w:r>
      <w:proofErr w:type="spellEnd"/>
      <w:r w:rsidRPr="00925C30">
        <w:rPr>
          <w:color w:val="000000"/>
          <w:sz w:val="28"/>
          <w:szCs w:val="28"/>
        </w:rPr>
        <w:t>,</w:t>
      </w:r>
    </w:p>
    <w:p w:rsidR="00A859AC" w:rsidRPr="00925C30" w:rsidRDefault="00A859AC" w:rsidP="00A859A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25C30">
        <w:rPr>
          <w:color w:val="000000"/>
          <w:sz w:val="28"/>
          <w:szCs w:val="28"/>
        </w:rPr>
        <w:t>3.        </w:t>
      </w:r>
      <w:proofErr w:type="spellStart"/>
      <w:r w:rsidRPr="00925C30">
        <w:rPr>
          <w:color w:val="000000"/>
          <w:sz w:val="28"/>
          <w:szCs w:val="28"/>
        </w:rPr>
        <w:t>Розрахунок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витрат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суб’єктів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мікропідприємництва</w:t>
      </w:r>
      <w:proofErr w:type="spellEnd"/>
      <w:r w:rsidRPr="00925C30">
        <w:rPr>
          <w:color w:val="000000"/>
          <w:sz w:val="28"/>
          <w:szCs w:val="28"/>
        </w:rPr>
        <w:t xml:space="preserve"> на </w:t>
      </w:r>
      <w:proofErr w:type="spellStart"/>
      <w:r w:rsidRPr="00925C30">
        <w:rPr>
          <w:color w:val="000000"/>
          <w:sz w:val="28"/>
          <w:szCs w:val="28"/>
        </w:rPr>
        <w:t>виконання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вимог</w:t>
      </w:r>
      <w:proofErr w:type="spellEnd"/>
      <w:r w:rsidRPr="00925C30">
        <w:rPr>
          <w:color w:val="000000"/>
          <w:sz w:val="28"/>
          <w:szCs w:val="28"/>
        </w:rPr>
        <w:t xml:space="preserve"> </w:t>
      </w:r>
      <w:proofErr w:type="spellStart"/>
      <w:r w:rsidRPr="00925C30">
        <w:rPr>
          <w:color w:val="000000"/>
          <w:sz w:val="28"/>
          <w:szCs w:val="28"/>
        </w:rPr>
        <w:t>регулювання</w:t>
      </w:r>
      <w:proofErr w:type="spellEnd"/>
    </w:p>
    <w:p w:rsidR="00A859AC" w:rsidRPr="00925C30" w:rsidRDefault="00A859AC" w:rsidP="00A859AC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25C30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786"/>
        <w:gridCol w:w="3508"/>
        <w:gridCol w:w="1819"/>
        <w:gridCol w:w="1054"/>
      </w:tblGrid>
      <w:tr w:rsidR="00A859AC" w:rsidRPr="00925C30" w:rsidTr="005F1F4F">
        <w:trPr>
          <w:trHeight w:val="1950"/>
          <w:tblCellSpacing w:w="0" w:type="dxa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35" w:lineRule="atLeast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25C30">
              <w:rPr>
                <w:sz w:val="28"/>
                <w:szCs w:val="28"/>
              </w:rPr>
              <w:t>п</w:t>
            </w:r>
            <w:proofErr w:type="gramEnd"/>
            <w:r w:rsidRPr="00925C30">
              <w:rPr>
                <w:sz w:val="28"/>
                <w:szCs w:val="28"/>
              </w:rPr>
              <w:t>/п</w:t>
            </w:r>
          </w:p>
        </w:tc>
        <w:tc>
          <w:tcPr>
            <w:tcW w:w="4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8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Найменування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both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 xml:space="preserve">У перший </w:t>
            </w:r>
            <w:proofErr w:type="spellStart"/>
            <w:proofErr w:type="gramStart"/>
            <w:r w:rsidRPr="00925C30">
              <w:rPr>
                <w:sz w:val="28"/>
                <w:szCs w:val="28"/>
              </w:rPr>
              <w:t>р</w:t>
            </w:r>
            <w:proofErr w:type="gramEnd"/>
            <w:r w:rsidRPr="00925C30">
              <w:rPr>
                <w:sz w:val="28"/>
                <w:szCs w:val="28"/>
              </w:rPr>
              <w:t>ік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стартовий</w:t>
            </w:r>
            <w:proofErr w:type="spellEnd"/>
            <w:r w:rsidRPr="00925C30">
              <w:rPr>
                <w:sz w:val="28"/>
                <w:szCs w:val="28"/>
              </w:rPr>
              <w:t> </w:t>
            </w:r>
            <w:proofErr w:type="spellStart"/>
            <w:r w:rsidRPr="00925C30">
              <w:rPr>
                <w:spacing w:val="-3"/>
                <w:sz w:val="28"/>
                <w:szCs w:val="28"/>
              </w:rPr>
              <w:t>рік</w:t>
            </w:r>
            <w:proofErr w:type="spellEnd"/>
            <w:r w:rsidRPr="00925C30">
              <w:rPr>
                <w:spacing w:val="-3"/>
                <w:sz w:val="28"/>
                <w:szCs w:val="28"/>
              </w:rPr>
              <w:t> </w:t>
            </w:r>
            <w:proofErr w:type="spellStart"/>
            <w:r w:rsidRPr="00925C30">
              <w:rPr>
                <w:sz w:val="28"/>
                <w:szCs w:val="28"/>
              </w:rPr>
              <w:t>впровадження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регулювання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Періодичні</w:t>
            </w:r>
            <w:proofErr w:type="spellEnd"/>
            <w:r w:rsidRPr="00925C30">
              <w:rPr>
                <w:sz w:val="28"/>
                <w:szCs w:val="28"/>
              </w:rPr>
              <w:t xml:space="preserve"> (за   </w:t>
            </w:r>
            <w:proofErr w:type="spellStart"/>
            <w:r w:rsidRPr="00925C30">
              <w:rPr>
                <w:sz w:val="28"/>
                <w:szCs w:val="28"/>
              </w:rPr>
              <w:t>наступний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5C30">
              <w:rPr>
                <w:sz w:val="28"/>
                <w:szCs w:val="28"/>
              </w:rPr>
              <w:t>р</w:t>
            </w:r>
            <w:proofErr w:type="gramEnd"/>
            <w:r w:rsidRPr="00925C30">
              <w:rPr>
                <w:sz w:val="28"/>
                <w:szCs w:val="28"/>
              </w:rPr>
              <w:t>ік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35" w:lineRule="atLeast"/>
              <w:jc w:val="center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Витрати</w:t>
            </w:r>
            <w:proofErr w:type="spellEnd"/>
            <w:r w:rsidRPr="00925C30">
              <w:rPr>
                <w:sz w:val="28"/>
                <w:szCs w:val="28"/>
              </w:rPr>
              <w:t xml:space="preserve"> за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5C30">
              <w:rPr>
                <w:sz w:val="28"/>
                <w:szCs w:val="28"/>
              </w:rPr>
              <w:t>п’ять</w:t>
            </w:r>
            <w:proofErr w:type="spellEnd"/>
            <w:proofErr w:type="gram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років</w:t>
            </w:r>
            <w:proofErr w:type="spellEnd"/>
          </w:p>
        </w:tc>
      </w:tr>
      <w:tr w:rsidR="00A859AC" w:rsidRPr="00925C30" w:rsidTr="005F1F4F">
        <w:trPr>
          <w:trHeight w:val="585"/>
          <w:tblCellSpacing w:w="0" w:type="dxa"/>
        </w:trPr>
        <w:tc>
          <w:tcPr>
            <w:tcW w:w="97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8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Оцінка</w:t>
            </w:r>
            <w:proofErr w:type="spellEnd"/>
            <w:r w:rsidRPr="00925C30">
              <w:rPr>
                <w:sz w:val="28"/>
                <w:szCs w:val="28"/>
              </w:rPr>
              <w:t xml:space="preserve"> “</w:t>
            </w:r>
            <w:proofErr w:type="spellStart"/>
            <w:r w:rsidRPr="00925C30">
              <w:rPr>
                <w:sz w:val="28"/>
                <w:szCs w:val="28"/>
              </w:rPr>
              <w:t>прямих</w:t>
            </w:r>
            <w:proofErr w:type="spellEnd"/>
            <w:r w:rsidRPr="00925C30">
              <w:rPr>
                <w:sz w:val="28"/>
                <w:szCs w:val="28"/>
              </w:rPr>
              <w:t xml:space="preserve">” </w:t>
            </w:r>
            <w:proofErr w:type="spellStart"/>
            <w:r w:rsidRPr="00925C30">
              <w:rPr>
                <w:sz w:val="28"/>
                <w:szCs w:val="28"/>
              </w:rPr>
              <w:t>витрат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суб’єктів</w:t>
            </w:r>
            <w:proofErr w:type="spellEnd"/>
            <w:r w:rsidRPr="00925C30">
              <w:rPr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925C30">
              <w:rPr>
                <w:sz w:val="28"/>
                <w:szCs w:val="28"/>
              </w:rPr>
              <w:t>п</w:t>
            </w:r>
            <w:proofErr w:type="gramEnd"/>
            <w:r w:rsidRPr="00925C30">
              <w:rPr>
                <w:sz w:val="28"/>
                <w:szCs w:val="28"/>
              </w:rPr>
              <w:t>ідприємництва</w:t>
            </w:r>
            <w:proofErr w:type="spellEnd"/>
            <w:r w:rsidRPr="00925C30">
              <w:rPr>
                <w:sz w:val="28"/>
                <w:szCs w:val="28"/>
              </w:rPr>
              <w:t xml:space="preserve"> на </w:t>
            </w:r>
            <w:proofErr w:type="spellStart"/>
            <w:r w:rsidRPr="00925C30">
              <w:rPr>
                <w:sz w:val="28"/>
                <w:szCs w:val="28"/>
              </w:rPr>
              <w:t>виконання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регулювання</w:t>
            </w:r>
            <w:proofErr w:type="spellEnd"/>
          </w:p>
        </w:tc>
      </w:tr>
      <w:tr w:rsidR="00A859AC" w:rsidRPr="00925C30" w:rsidTr="005F1F4F">
        <w:trPr>
          <w:trHeight w:val="69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8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Придбання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необхідного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обладнання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пристрої</w:t>
            </w:r>
            <w:proofErr w:type="gramStart"/>
            <w:r w:rsidRPr="00925C3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25C30">
              <w:rPr>
                <w:sz w:val="28"/>
                <w:szCs w:val="28"/>
              </w:rPr>
              <w:t xml:space="preserve">, машин, </w:t>
            </w:r>
            <w:proofErr w:type="spellStart"/>
            <w:r w:rsidRPr="00925C30">
              <w:rPr>
                <w:sz w:val="28"/>
                <w:szCs w:val="28"/>
              </w:rPr>
              <w:t>механізмів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</w:tr>
      <w:tr w:rsidR="00A859AC" w:rsidRPr="00925C30" w:rsidTr="005F1F4F">
        <w:trPr>
          <w:trHeight w:val="129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8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Процедури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повірки</w:t>
            </w:r>
            <w:proofErr w:type="spellEnd"/>
            <w:r w:rsidRPr="00925C30">
              <w:rPr>
                <w:sz w:val="28"/>
                <w:szCs w:val="28"/>
              </w:rPr>
              <w:t xml:space="preserve"> та/</w:t>
            </w:r>
            <w:proofErr w:type="spellStart"/>
            <w:r w:rsidRPr="00925C30">
              <w:rPr>
                <w:sz w:val="28"/>
                <w:szCs w:val="28"/>
              </w:rPr>
              <w:t>або</w:t>
            </w:r>
            <w:proofErr w:type="spellEnd"/>
            <w:r w:rsidRPr="00925C30">
              <w:rPr>
                <w:sz w:val="28"/>
                <w:szCs w:val="28"/>
              </w:rPr>
              <w:t xml:space="preserve"> постановки на </w:t>
            </w:r>
            <w:proofErr w:type="spellStart"/>
            <w:r w:rsidRPr="00925C30">
              <w:rPr>
                <w:sz w:val="28"/>
                <w:szCs w:val="28"/>
              </w:rPr>
              <w:t>відповідний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5C30">
              <w:rPr>
                <w:sz w:val="28"/>
                <w:szCs w:val="28"/>
              </w:rPr>
              <w:t>обл</w:t>
            </w:r>
            <w:proofErr w:type="gramEnd"/>
            <w:r w:rsidRPr="00925C30">
              <w:rPr>
                <w:sz w:val="28"/>
                <w:szCs w:val="28"/>
              </w:rPr>
              <w:t>ік</w:t>
            </w:r>
            <w:proofErr w:type="spellEnd"/>
            <w:r w:rsidRPr="00925C30">
              <w:rPr>
                <w:sz w:val="28"/>
                <w:szCs w:val="28"/>
              </w:rPr>
              <w:t xml:space="preserve"> у </w:t>
            </w:r>
            <w:proofErr w:type="spellStart"/>
            <w:r w:rsidRPr="00925C30">
              <w:rPr>
                <w:sz w:val="28"/>
                <w:szCs w:val="28"/>
              </w:rPr>
              <w:t>визначеному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органі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державної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влади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чи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місцевого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</w:tr>
      <w:tr w:rsidR="00A859AC" w:rsidRPr="00925C30" w:rsidTr="005F1F4F">
        <w:trPr>
          <w:trHeight w:val="100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Процедури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експлуатації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обладнання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експлуатаційні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витрати</w:t>
            </w:r>
            <w:proofErr w:type="spellEnd"/>
            <w:r w:rsidRPr="00925C30">
              <w:rPr>
                <w:sz w:val="28"/>
                <w:szCs w:val="28"/>
              </w:rPr>
              <w:t xml:space="preserve"> – </w:t>
            </w:r>
            <w:proofErr w:type="spellStart"/>
            <w:r w:rsidRPr="00925C30">
              <w:rPr>
                <w:sz w:val="28"/>
                <w:szCs w:val="28"/>
              </w:rPr>
              <w:t>витратні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матеріали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</w:tr>
      <w:tr w:rsidR="00A859AC" w:rsidRPr="00925C30" w:rsidTr="005F1F4F">
        <w:trPr>
          <w:trHeight w:val="66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35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Процедури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обслуговування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обладнання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925C30">
              <w:rPr>
                <w:sz w:val="28"/>
                <w:szCs w:val="28"/>
              </w:rPr>
              <w:t>техн</w:t>
            </w:r>
            <w:proofErr w:type="gramEnd"/>
            <w:r w:rsidRPr="00925C30">
              <w:rPr>
                <w:sz w:val="28"/>
                <w:szCs w:val="28"/>
              </w:rPr>
              <w:t>ічне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обслуговування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</w:tr>
      <w:tr w:rsidR="00A859AC" w:rsidRPr="00925C30" w:rsidTr="005F1F4F">
        <w:trPr>
          <w:trHeight w:val="42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Інші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процедури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уточнити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-</w:t>
            </w:r>
          </w:p>
        </w:tc>
      </w:tr>
      <w:tr w:rsidR="00A859AC" w:rsidRPr="00925C30" w:rsidTr="005F1F4F">
        <w:trPr>
          <w:trHeight w:val="40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 xml:space="preserve">Разом, </w:t>
            </w:r>
            <w:proofErr w:type="spellStart"/>
            <w:r w:rsidRPr="00925C30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0,0</w:t>
            </w:r>
          </w:p>
        </w:tc>
      </w:tr>
      <w:tr w:rsidR="00A859AC" w:rsidRPr="00925C30" w:rsidTr="005F1F4F">
        <w:trPr>
          <w:trHeight w:val="91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Кількість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суб’єктів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господарювання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що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повинні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виконати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вимоги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регулювання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  <w:lang w:val="uk-UA"/>
              </w:rPr>
              <w:t>0,00</w:t>
            </w:r>
          </w:p>
        </w:tc>
      </w:tr>
      <w:tr w:rsidR="00A859AC" w:rsidRPr="00925C30" w:rsidTr="005F1F4F">
        <w:trPr>
          <w:trHeight w:val="46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Сумарно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A859AC" w:rsidRPr="00925C30" w:rsidTr="005F1F4F">
        <w:trPr>
          <w:trHeight w:val="705"/>
          <w:tblCellSpacing w:w="0" w:type="dxa"/>
        </w:trPr>
        <w:tc>
          <w:tcPr>
            <w:tcW w:w="97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Оцінка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вартості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5C30">
              <w:rPr>
                <w:sz w:val="28"/>
                <w:szCs w:val="28"/>
              </w:rPr>
              <w:t>адм</w:t>
            </w:r>
            <w:proofErr w:type="gramEnd"/>
            <w:r w:rsidRPr="00925C30">
              <w:rPr>
                <w:sz w:val="28"/>
                <w:szCs w:val="28"/>
              </w:rPr>
              <w:t>іністративних</w:t>
            </w:r>
            <w:proofErr w:type="spellEnd"/>
            <w:r w:rsidRPr="00925C30">
              <w:rPr>
                <w:sz w:val="28"/>
                <w:szCs w:val="28"/>
              </w:rPr>
              <w:t xml:space="preserve"> процедур </w:t>
            </w:r>
            <w:proofErr w:type="spellStart"/>
            <w:r w:rsidRPr="00925C30">
              <w:rPr>
                <w:sz w:val="28"/>
                <w:szCs w:val="28"/>
              </w:rPr>
              <w:t>суб’єктів</w:t>
            </w:r>
            <w:proofErr w:type="spellEnd"/>
            <w:r w:rsidRPr="00925C30">
              <w:rPr>
                <w:sz w:val="28"/>
                <w:szCs w:val="28"/>
              </w:rPr>
              <w:t xml:space="preserve"> малого </w:t>
            </w:r>
            <w:proofErr w:type="spellStart"/>
            <w:r w:rsidRPr="00925C30">
              <w:rPr>
                <w:sz w:val="28"/>
                <w:szCs w:val="28"/>
              </w:rPr>
              <w:t>підприємництва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щодо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виконання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регулювання</w:t>
            </w:r>
            <w:proofErr w:type="spellEnd"/>
            <w:r w:rsidRPr="00925C30">
              <w:rPr>
                <w:sz w:val="28"/>
                <w:szCs w:val="28"/>
              </w:rPr>
              <w:t xml:space="preserve"> та </w:t>
            </w:r>
            <w:proofErr w:type="spellStart"/>
            <w:r w:rsidRPr="00925C30">
              <w:rPr>
                <w:sz w:val="28"/>
                <w:szCs w:val="28"/>
              </w:rPr>
              <w:t>звітування</w:t>
            </w:r>
            <w:proofErr w:type="spellEnd"/>
          </w:p>
        </w:tc>
      </w:tr>
      <w:tr w:rsidR="00A859AC" w:rsidRPr="00925C30" w:rsidTr="005F1F4F">
        <w:trPr>
          <w:trHeight w:val="1395"/>
          <w:tblCellSpacing w:w="0" w:type="dxa"/>
        </w:trPr>
        <w:tc>
          <w:tcPr>
            <w:tcW w:w="97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6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rStyle w:val="a9"/>
                <w:sz w:val="28"/>
                <w:szCs w:val="28"/>
              </w:rPr>
              <w:lastRenderedPageBreak/>
              <w:t>Розрахунок</w:t>
            </w:r>
            <w:proofErr w:type="spellEnd"/>
            <w:r w:rsidRPr="00925C30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rStyle w:val="a9"/>
                <w:sz w:val="28"/>
                <w:szCs w:val="28"/>
              </w:rPr>
              <w:t>вартості</w:t>
            </w:r>
            <w:proofErr w:type="spellEnd"/>
            <w:r w:rsidRPr="00925C30">
              <w:rPr>
                <w:rStyle w:val="a9"/>
                <w:sz w:val="28"/>
                <w:szCs w:val="28"/>
              </w:rPr>
              <w:t xml:space="preserve"> 1 </w:t>
            </w:r>
            <w:proofErr w:type="spellStart"/>
            <w:r w:rsidRPr="00925C30">
              <w:rPr>
                <w:rStyle w:val="a9"/>
                <w:sz w:val="28"/>
                <w:szCs w:val="28"/>
              </w:rPr>
              <w:t>людино-години</w:t>
            </w:r>
            <w:proofErr w:type="spellEnd"/>
            <w:r w:rsidRPr="00925C30">
              <w:rPr>
                <w:rStyle w:val="a9"/>
                <w:sz w:val="28"/>
                <w:szCs w:val="28"/>
              </w:rPr>
              <w:t>:</w:t>
            </w:r>
          </w:p>
          <w:p w:rsidR="00A859AC" w:rsidRPr="001B0ED0" w:rsidRDefault="00A859AC" w:rsidP="005F1F4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</w:rPr>
              <w:t xml:space="preserve">Для </w:t>
            </w:r>
            <w:proofErr w:type="spellStart"/>
            <w:r w:rsidRPr="00925C30">
              <w:rPr>
                <w:sz w:val="28"/>
                <w:szCs w:val="28"/>
              </w:rPr>
              <w:t>розрахунку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використовується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розмі</w:t>
            </w:r>
            <w:proofErr w:type="gramStart"/>
            <w:r w:rsidRPr="00925C3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мінімальної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заробітної</w:t>
            </w:r>
            <w:proofErr w:type="spellEnd"/>
            <w:r w:rsidRPr="00925C30">
              <w:rPr>
                <w:sz w:val="28"/>
                <w:szCs w:val="28"/>
              </w:rPr>
              <w:t xml:space="preserve"> плати – </w:t>
            </w:r>
            <w:r w:rsidRPr="00925C30">
              <w:rPr>
                <w:sz w:val="28"/>
                <w:szCs w:val="28"/>
                <w:lang w:val="uk-UA"/>
              </w:rPr>
              <w:t>6000,0</w:t>
            </w:r>
            <w:r w:rsidRPr="00925C30">
              <w:rPr>
                <w:sz w:val="28"/>
                <w:szCs w:val="28"/>
              </w:rPr>
              <w:t xml:space="preserve">0 грн. </w:t>
            </w:r>
            <w:r>
              <w:rPr>
                <w:sz w:val="28"/>
                <w:szCs w:val="28"/>
                <w:lang w:val="uk-UA"/>
              </w:rPr>
              <w:t>, середня тривалість робочого часу 2021 році - 166</w:t>
            </w:r>
          </w:p>
        </w:tc>
      </w:tr>
      <w:tr w:rsidR="00A859AC" w:rsidRPr="00925C30" w:rsidTr="005F1F4F">
        <w:trPr>
          <w:trHeight w:val="283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925C30">
              <w:rPr>
                <w:color w:val="000000"/>
                <w:sz w:val="28"/>
                <w:szCs w:val="28"/>
              </w:rPr>
              <w:br/>
              <w:t>Процедури отримання первинної інформації про вимоги регулювання</w:t>
            </w:r>
          </w:p>
          <w:p w:rsidR="00A859AC" w:rsidRPr="00925C30" w:rsidRDefault="00A859AC" w:rsidP="005F1F4F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A859AC" w:rsidRPr="00925C30" w:rsidRDefault="00A859AC" w:rsidP="005F1F4F">
            <w:pPr>
              <w:pStyle w:val="a7"/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витрати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часу на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отримання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інформації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регулювання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отримання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необхідних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форм та заявок Х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вартість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часу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суб’єкта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заробітна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плата) Х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оціночна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форм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 </w:t>
            </w:r>
          </w:p>
          <w:p w:rsidR="00A859AC" w:rsidRPr="00925C30" w:rsidRDefault="00A859AC" w:rsidP="005F1F4F">
            <w:pPr>
              <w:pStyle w:val="a7"/>
              <w:rPr>
                <w:rStyle w:val="a9"/>
                <w:sz w:val="28"/>
                <w:szCs w:val="28"/>
                <w:lang w:val="uk-UA"/>
              </w:rPr>
            </w:pPr>
            <w:proofErr w:type="spellStart"/>
            <w:r w:rsidRPr="00925C30">
              <w:rPr>
                <w:rStyle w:val="a9"/>
                <w:sz w:val="28"/>
                <w:szCs w:val="28"/>
              </w:rPr>
              <w:t>Оціночно</w:t>
            </w:r>
            <w:proofErr w:type="spellEnd"/>
            <w:r w:rsidRPr="00925C30">
              <w:rPr>
                <w:rStyle w:val="a9"/>
                <w:sz w:val="28"/>
                <w:szCs w:val="28"/>
              </w:rPr>
              <w:t>: 0,25 годин</w:t>
            </w:r>
          </w:p>
          <w:p w:rsidR="00A859AC" w:rsidRPr="00925C30" w:rsidRDefault="00A859AC" w:rsidP="005F1F4F">
            <w:pPr>
              <w:pStyle w:val="a7"/>
              <w:rPr>
                <w:sz w:val="28"/>
                <w:szCs w:val="28"/>
                <w:lang w:val="uk-UA"/>
              </w:rPr>
            </w:pPr>
            <w:r w:rsidRPr="00925C30">
              <w:rPr>
                <w:rStyle w:val="a9"/>
                <w:sz w:val="28"/>
                <w:szCs w:val="28"/>
                <w:lang w:val="uk-UA"/>
              </w:rPr>
              <w:t>0.25Х6000/166=9,04</w:t>
            </w:r>
          </w:p>
        </w:tc>
      </w:tr>
      <w:tr w:rsidR="00A859AC" w:rsidRPr="00925C30" w:rsidTr="005F1F4F">
        <w:trPr>
          <w:trHeight w:val="112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773"/>
            </w:tblGrid>
            <w:tr w:rsidR="00A859AC" w:rsidRPr="00A859AC" w:rsidTr="005F1F4F">
              <w:trPr>
                <w:trHeight w:val="15"/>
              </w:trPr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859AC" w:rsidRPr="00925C30" w:rsidRDefault="00A859AC" w:rsidP="005F1F4F">
                  <w:pPr>
                    <w:spacing w:before="150"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925C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  <w:t>Процедури організації виконання вимог регулювання</w:t>
                  </w:r>
                </w:p>
                <w:p w:rsidR="00A859AC" w:rsidRPr="00925C30" w:rsidRDefault="00A859AC" w:rsidP="005F1F4F">
                  <w:pPr>
                    <w:spacing w:before="150"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925C3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uk-UA"/>
                    </w:rPr>
                    <w:t>Формула:</w:t>
                  </w:r>
                </w:p>
                <w:p w:rsidR="00A859AC" w:rsidRPr="00925C30" w:rsidRDefault="00A859AC" w:rsidP="005F1F4F">
                  <w:pPr>
                    <w:spacing w:before="150" w:after="150" w:line="15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925C3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uk-UA"/>
                    </w:rPr>
      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</w:t>
                  </w:r>
                  <w:r w:rsidRPr="00925C3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uk-UA"/>
                    </w:rPr>
                    <w:lastRenderedPageBreak/>
                    <w:t>суб’єкта малого підприємництва (заробітна плата) Х оціночна кількість внутрішніх процедур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859AC" w:rsidRPr="00925C30" w:rsidRDefault="00A859AC" w:rsidP="005F1F4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A859AC" w:rsidRPr="00925C30" w:rsidRDefault="00A859AC" w:rsidP="005F1F4F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7" w:lineRule="atLeast"/>
              <w:rPr>
                <w:rStyle w:val="a9"/>
                <w:sz w:val="28"/>
                <w:szCs w:val="28"/>
                <w:lang w:val="uk-UA"/>
              </w:rPr>
            </w:pPr>
            <w:proofErr w:type="spellStart"/>
            <w:r w:rsidRPr="00925C30">
              <w:rPr>
                <w:rStyle w:val="a9"/>
                <w:sz w:val="28"/>
                <w:szCs w:val="28"/>
              </w:rPr>
              <w:lastRenderedPageBreak/>
              <w:t>Оціночно</w:t>
            </w:r>
            <w:proofErr w:type="spellEnd"/>
            <w:r w:rsidRPr="00925C30">
              <w:rPr>
                <w:rStyle w:val="a9"/>
                <w:sz w:val="28"/>
                <w:szCs w:val="28"/>
              </w:rPr>
              <w:t>: 0,5годин*</w:t>
            </w:r>
          </w:p>
          <w:p w:rsidR="00A859AC" w:rsidRPr="00925C30" w:rsidRDefault="00A859AC" w:rsidP="005F1F4F">
            <w:pPr>
              <w:pStyle w:val="a7"/>
              <w:spacing w:line="267" w:lineRule="atLeast"/>
              <w:rPr>
                <w:sz w:val="28"/>
                <w:szCs w:val="28"/>
                <w:lang w:val="uk-UA"/>
              </w:rPr>
            </w:pPr>
            <w:r w:rsidRPr="00925C30">
              <w:rPr>
                <w:rStyle w:val="a9"/>
                <w:sz w:val="28"/>
                <w:szCs w:val="28"/>
                <w:lang w:val="uk-UA"/>
              </w:rPr>
              <w:t>0,5Х6000/166=18,07</w:t>
            </w:r>
          </w:p>
        </w:tc>
      </w:tr>
      <w:tr w:rsidR="00A859AC" w:rsidRPr="00925C30" w:rsidTr="005F1F4F">
        <w:trPr>
          <w:trHeight w:val="511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925C30">
              <w:rPr>
                <w:color w:val="000000"/>
                <w:sz w:val="28"/>
                <w:szCs w:val="28"/>
              </w:rPr>
              <w:t>Процедури офіційного звітування</w:t>
            </w:r>
          </w:p>
          <w:p w:rsidR="00A859AC" w:rsidRPr="00925C30" w:rsidRDefault="00A859AC" w:rsidP="005F1F4F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Формула:</w:t>
            </w:r>
          </w:p>
          <w:p w:rsidR="00A859AC" w:rsidRPr="00925C30" w:rsidRDefault="00A859AC" w:rsidP="005F1F4F">
            <w:pPr>
              <w:pStyle w:val="rvps14"/>
              <w:shd w:val="clear" w:color="auto" w:fill="FFFFFF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</w:t>
            </w:r>
            <w:proofErr w:type="spellStart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>звітність</w:t>
            </w:r>
            <w:proofErr w:type="spellEnd"/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t xml:space="preserve">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</w:t>
            </w:r>
            <w:r w:rsidRPr="00925C30">
              <w:rPr>
                <w:rStyle w:val="rvts11"/>
                <w:i/>
                <w:iCs/>
                <w:color w:val="000000"/>
                <w:sz w:val="28"/>
                <w:szCs w:val="28"/>
              </w:rPr>
              <w:lastRenderedPageBreak/>
              <w:t>оригінальних звітів Х кількість періодів звітності за рік</w:t>
            </w:r>
          </w:p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rPr>
                <w:b/>
                <w:sz w:val="28"/>
                <w:szCs w:val="28"/>
                <w:lang w:val="uk-UA"/>
              </w:rPr>
            </w:pPr>
            <w:r w:rsidRPr="00925C30">
              <w:rPr>
                <w:b/>
                <w:sz w:val="28"/>
                <w:szCs w:val="28"/>
              </w:rPr>
              <w:lastRenderedPageBreak/>
              <w:t> </w:t>
            </w:r>
            <w:proofErr w:type="spellStart"/>
            <w:r w:rsidRPr="00925C30">
              <w:rPr>
                <w:b/>
                <w:sz w:val="28"/>
                <w:szCs w:val="28"/>
                <w:lang w:val="uk-UA"/>
              </w:rPr>
              <w:t>Оціночно</w:t>
            </w:r>
            <w:proofErr w:type="spellEnd"/>
            <w:r w:rsidRPr="00925C30">
              <w:rPr>
                <w:b/>
                <w:sz w:val="28"/>
                <w:szCs w:val="28"/>
                <w:lang w:val="uk-UA"/>
              </w:rPr>
              <w:t xml:space="preserve"> 3 год.</w:t>
            </w:r>
          </w:p>
          <w:p w:rsidR="00A859AC" w:rsidRPr="00925C30" w:rsidRDefault="00A859AC" w:rsidP="005F1F4F">
            <w:pPr>
              <w:pStyle w:val="a7"/>
              <w:rPr>
                <w:b/>
                <w:sz w:val="28"/>
                <w:szCs w:val="28"/>
                <w:lang w:val="uk-UA"/>
              </w:rPr>
            </w:pPr>
            <w:r w:rsidRPr="00925C30">
              <w:rPr>
                <w:b/>
                <w:sz w:val="28"/>
                <w:szCs w:val="28"/>
              </w:rPr>
              <w:t> </w:t>
            </w:r>
            <w:r w:rsidRPr="00925C30">
              <w:rPr>
                <w:b/>
                <w:sz w:val="28"/>
                <w:szCs w:val="28"/>
                <w:lang w:val="uk-UA"/>
              </w:rPr>
              <w:t xml:space="preserve">( 3г.+0,5 г.+0,5 г.) Х60000/166=144,58 </w:t>
            </w:r>
            <w:proofErr w:type="spellStart"/>
            <w:r w:rsidRPr="00925C30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  <w:p w:rsidR="00A859AC" w:rsidRPr="00925C30" w:rsidRDefault="00A859AC" w:rsidP="005F1F4F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A859AC" w:rsidRPr="00925C30" w:rsidTr="005F1F4F">
        <w:trPr>
          <w:trHeight w:val="70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773"/>
            </w:tblGrid>
            <w:tr w:rsidR="00A859AC" w:rsidRPr="00925C30" w:rsidTr="005F1F4F">
              <w:trPr>
                <w:trHeight w:val="15"/>
              </w:trPr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859AC" w:rsidRPr="00925C30" w:rsidRDefault="00A859AC" w:rsidP="005F1F4F">
                  <w:pPr>
                    <w:spacing w:before="150"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925C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  <w:t>Процедури щодо забезпечення процесу перевірок</w:t>
                  </w:r>
                </w:p>
                <w:p w:rsidR="00A859AC" w:rsidRPr="00925C30" w:rsidRDefault="00A859AC" w:rsidP="005F1F4F">
                  <w:pPr>
                    <w:spacing w:before="150"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925C3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uk-UA"/>
                    </w:rPr>
                    <w:t>Формула:</w:t>
                  </w:r>
                </w:p>
                <w:p w:rsidR="00A859AC" w:rsidRPr="00925C30" w:rsidRDefault="00A859AC" w:rsidP="005F1F4F">
                  <w:pPr>
                    <w:spacing w:before="150" w:after="150" w:line="15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925C3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uk-UA"/>
                    </w:rPr>
      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859AC" w:rsidRPr="00925C30" w:rsidRDefault="00A859AC" w:rsidP="005F1F4F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25C30">
              <w:rPr>
                <w:b/>
                <w:sz w:val="28"/>
                <w:szCs w:val="28"/>
                <w:lang w:val="uk-UA"/>
              </w:rPr>
              <w:t>8 г.Х6000/166=289,16 грн.</w:t>
            </w:r>
          </w:p>
        </w:tc>
      </w:tr>
      <w:tr w:rsidR="00A859AC" w:rsidRPr="00925C30" w:rsidTr="005F1F4F">
        <w:trPr>
          <w:trHeight w:val="57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Інші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процедури</w:t>
            </w:r>
            <w:proofErr w:type="spellEnd"/>
            <w:r w:rsidRPr="00925C30">
              <w:rPr>
                <w:sz w:val="28"/>
                <w:szCs w:val="28"/>
              </w:rPr>
              <w:t xml:space="preserve"> (</w:t>
            </w:r>
            <w:proofErr w:type="spellStart"/>
            <w:r w:rsidRPr="00925C30">
              <w:rPr>
                <w:sz w:val="28"/>
                <w:szCs w:val="28"/>
              </w:rPr>
              <w:t>уточнити</w:t>
            </w:r>
            <w:proofErr w:type="spellEnd"/>
            <w:r w:rsidRPr="00925C30">
              <w:rPr>
                <w:sz w:val="28"/>
                <w:szCs w:val="28"/>
              </w:rPr>
              <w:t>)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-</w:t>
            </w:r>
          </w:p>
        </w:tc>
      </w:tr>
      <w:tr w:rsidR="00A859AC" w:rsidRPr="00925C30" w:rsidTr="005F1F4F">
        <w:trPr>
          <w:trHeight w:val="840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</w:rPr>
            </w:pPr>
            <w:r w:rsidRPr="00925C30">
              <w:rPr>
                <w:sz w:val="28"/>
                <w:szCs w:val="28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</w:rPr>
              <w:t xml:space="preserve">Разом, </w:t>
            </w:r>
            <w:proofErr w:type="spellStart"/>
            <w:r w:rsidRPr="00925C30">
              <w:rPr>
                <w:sz w:val="28"/>
                <w:szCs w:val="28"/>
              </w:rPr>
              <w:t>гривень</w:t>
            </w:r>
            <w:proofErr w:type="spellEnd"/>
          </w:p>
          <w:p w:rsidR="00A859AC" w:rsidRPr="00925C30" w:rsidRDefault="00A859AC" w:rsidP="005F1F4F">
            <w:pPr>
              <w:pStyle w:val="a7"/>
              <w:spacing w:line="262" w:lineRule="atLeast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  <w:lang w:val="uk-UA"/>
              </w:rPr>
              <w:t>( сума рядків 9+10+11+12+13)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 w:rsidRPr="00925C30">
              <w:rPr>
                <w:b/>
                <w:sz w:val="28"/>
                <w:szCs w:val="28"/>
                <w:lang w:val="uk-UA"/>
              </w:rPr>
              <w:t>460,85 грн.</w:t>
            </w:r>
          </w:p>
        </w:tc>
      </w:tr>
      <w:tr w:rsidR="00A859AC" w:rsidRPr="00925C30" w:rsidTr="005F1F4F">
        <w:trPr>
          <w:trHeight w:val="855"/>
          <w:tblCellSpacing w:w="0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</w:rPr>
              <w:lastRenderedPageBreak/>
              <w:t>15</w:t>
            </w:r>
          </w:p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  <w:lang w:val="uk-UA"/>
              </w:rPr>
            </w:pPr>
            <w:r w:rsidRPr="00925C3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rvps14"/>
              <w:spacing w:before="150" w:after="150" w:line="15" w:lineRule="atLeast"/>
              <w:rPr>
                <w:color w:val="000000"/>
                <w:sz w:val="28"/>
                <w:szCs w:val="28"/>
              </w:rPr>
            </w:pPr>
            <w:r w:rsidRPr="00925C30">
              <w:rPr>
                <w:color w:val="000000"/>
                <w:sz w:val="28"/>
                <w:szCs w:val="28"/>
              </w:rPr>
              <w:br/>
              <w:t>Кількість суб’єктів малого підприємництва, що повинні виконати вимоги регулювання, одиниць</w:t>
            </w:r>
          </w:p>
          <w:p w:rsidR="00A859AC" w:rsidRPr="00925C30" w:rsidRDefault="00A859AC" w:rsidP="005F1F4F">
            <w:pPr>
              <w:pStyle w:val="a7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25C30">
              <w:rPr>
                <w:sz w:val="28"/>
                <w:szCs w:val="28"/>
              </w:rPr>
              <w:t>Сумарно</w:t>
            </w:r>
            <w:proofErr w:type="spellEnd"/>
            <w:r w:rsidRPr="00925C30">
              <w:rPr>
                <w:sz w:val="28"/>
                <w:szCs w:val="28"/>
              </w:rPr>
              <w:t xml:space="preserve"> з </w:t>
            </w:r>
            <w:proofErr w:type="spellStart"/>
            <w:r w:rsidRPr="00925C30">
              <w:rPr>
                <w:sz w:val="28"/>
                <w:szCs w:val="28"/>
              </w:rPr>
              <w:t>урахуванням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виправлених</w:t>
            </w:r>
            <w:proofErr w:type="spellEnd"/>
            <w:r w:rsidRPr="00925C30">
              <w:rPr>
                <w:sz w:val="28"/>
                <w:szCs w:val="28"/>
              </w:rPr>
              <w:t xml:space="preserve"> </w:t>
            </w:r>
            <w:proofErr w:type="spellStart"/>
            <w:r w:rsidRPr="00925C30">
              <w:rPr>
                <w:sz w:val="28"/>
                <w:szCs w:val="28"/>
              </w:rPr>
              <w:t>похибок</w:t>
            </w:r>
            <w:proofErr w:type="spellEnd"/>
            <w:r w:rsidRPr="00925C30">
              <w:rPr>
                <w:sz w:val="28"/>
                <w:szCs w:val="28"/>
              </w:rPr>
              <w:t xml:space="preserve">, </w:t>
            </w:r>
            <w:proofErr w:type="spellStart"/>
            <w:r w:rsidRPr="00925C30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25C30">
              <w:rPr>
                <w:b/>
                <w:sz w:val="28"/>
                <w:szCs w:val="28"/>
                <w:lang w:val="uk-UA"/>
              </w:rPr>
              <w:t>17</w:t>
            </w:r>
          </w:p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A859AC" w:rsidRDefault="00A859AC" w:rsidP="005F1F4F">
            <w:pPr>
              <w:pStyle w:val="a7"/>
              <w:spacing w:line="262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859AC" w:rsidRDefault="00A859AC" w:rsidP="005F1F4F">
            <w:pPr>
              <w:pStyle w:val="a7"/>
              <w:spacing w:line="262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859AC" w:rsidRPr="00925C30" w:rsidRDefault="00A859AC" w:rsidP="005F1F4F">
            <w:pPr>
              <w:pStyle w:val="a7"/>
              <w:spacing w:line="262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25C30">
              <w:rPr>
                <w:b/>
                <w:sz w:val="28"/>
                <w:szCs w:val="28"/>
                <w:lang w:val="uk-UA"/>
              </w:rPr>
              <w:t>7834,45</w:t>
            </w:r>
          </w:p>
        </w:tc>
      </w:tr>
    </w:tbl>
    <w:p w:rsidR="00A859AC" w:rsidRPr="00925C30" w:rsidRDefault="00A859AC" w:rsidP="00A859AC">
      <w:pPr>
        <w:pStyle w:val="rvps3"/>
        <w:spacing w:before="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</w:p>
    <w:p w:rsidR="00A859AC" w:rsidRPr="00925C30" w:rsidRDefault="00A859AC" w:rsidP="00A859AC">
      <w:pPr>
        <w:pStyle w:val="rvps3"/>
        <w:spacing w:before="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</w:p>
    <w:p w:rsidR="00A859AC" w:rsidRPr="00925C30" w:rsidRDefault="00A859AC" w:rsidP="00A859AC">
      <w:pPr>
        <w:pStyle w:val="rvps3"/>
        <w:spacing w:before="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</w:p>
    <w:p w:rsidR="00A859AC" w:rsidRPr="00925C30" w:rsidRDefault="00A859AC" w:rsidP="00A859AC">
      <w:pPr>
        <w:pStyle w:val="rvps3"/>
        <w:spacing w:before="0" w:beforeAutospacing="0" w:after="150" w:afterAutospacing="0"/>
        <w:ind w:left="450" w:right="450"/>
        <w:jc w:val="center"/>
        <w:rPr>
          <w:sz w:val="28"/>
          <w:szCs w:val="28"/>
        </w:rPr>
      </w:pPr>
      <w:r w:rsidRPr="00925C30">
        <w:rPr>
          <w:color w:val="000000"/>
          <w:sz w:val="28"/>
          <w:szCs w:val="28"/>
        </w:rPr>
        <w:t> </w:t>
      </w:r>
      <w:r w:rsidRPr="00925C30">
        <w:rPr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:rsidR="00A859AC" w:rsidRPr="00925C30" w:rsidRDefault="00A859AC" w:rsidP="00A859AC">
      <w:pPr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2" w:name="n209"/>
      <w:bookmarkEnd w:id="2"/>
      <w:r w:rsidRPr="00925C30">
        <w:rPr>
          <w:rFonts w:ascii="Times New Roman" w:hAnsi="Times New Roman" w:cs="Times New Roman"/>
          <w:sz w:val="28"/>
          <w:szCs w:val="28"/>
          <w:lang w:val="uk-UA" w:eastAsia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A859AC" w:rsidRPr="00925C30" w:rsidRDefault="00A859AC" w:rsidP="00A859AC">
      <w:pPr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" w:name="n210"/>
      <w:bookmarkEnd w:id="3"/>
      <w:r w:rsidRPr="00925C30">
        <w:rPr>
          <w:rFonts w:ascii="Times New Roman" w:hAnsi="Times New Roman" w:cs="Times New Roman"/>
          <w:sz w:val="28"/>
          <w:szCs w:val="28"/>
          <w:lang w:val="uk-UA" w:eastAsia="uk-UA"/>
        </w:rPr>
        <w:t>Державний орган, для якого здійснюється розрахунок вартості адміністрування регулювання:</w:t>
      </w:r>
    </w:p>
    <w:p w:rsidR="00A859AC" w:rsidRPr="00925C30" w:rsidRDefault="00A859AC" w:rsidP="00A859AC">
      <w:pPr>
        <w:spacing w:after="150"/>
        <w:ind w:left="450" w:right="45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" w:name="n211"/>
      <w:bookmarkEnd w:id="4"/>
      <w:proofErr w:type="spellStart"/>
      <w:r w:rsidRPr="00925C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Старовижівська</w:t>
      </w:r>
      <w:proofErr w:type="spellEnd"/>
      <w:r w:rsidRPr="00925C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селищна рада </w:t>
      </w:r>
      <w:r w:rsidRPr="00925C30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br/>
      </w:r>
      <w:r w:rsidRPr="00925C3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(назва державного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093"/>
        <w:gridCol w:w="1429"/>
        <w:gridCol w:w="1239"/>
        <w:gridCol w:w="2028"/>
        <w:gridCol w:w="1676"/>
      </w:tblGrid>
      <w:tr w:rsidR="00A859AC" w:rsidRPr="00925C30" w:rsidTr="005F1F4F">
        <w:tc>
          <w:tcPr>
            <w:tcW w:w="11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5" w:name="n212"/>
            <w:bookmarkEnd w:id="5"/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</w:t>
            </w:r>
            <w:proofErr w:type="spellStart"/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мікро-підприємництв</w:t>
            </w:r>
            <w:proofErr w:type="spellEnd"/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Планові витрати часу на процедуру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A859AC" w:rsidRPr="00925C30" w:rsidTr="005F1F4F">
        <w:tc>
          <w:tcPr>
            <w:tcW w:w="114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1. Облік суб’єкта господарювання, що перебуває у сфері регулювання</w:t>
            </w:r>
          </w:p>
        </w:tc>
        <w:tc>
          <w:tcPr>
            <w:tcW w:w="56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1 г</w:t>
            </w:r>
          </w:p>
        </w:tc>
        <w:tc>
          <w:tcPr>
            <w:tcW w:w="739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52,00</w:t>
            </w:r>
          </w:p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1</w:t>
            </w:r>
          </w:p>
        </w:tc>
        <w:tc>
          <w:tcPr>
            <w:tcW w:w="1049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17</w:t>
            </w: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884,00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              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52,00 за 1 годину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1                                       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884,00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камеральні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                             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виїзні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 г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208,00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3536,00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4г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208,00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3536,00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6. Підготовка </w:t>
            </w: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звітності за результатами регулювання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 г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208,00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17  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3536,00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7. Інші адміністративні процедури (уточнити): </w:t>
            </w: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__________________ </w:t>
            </w: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__________________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2г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104,00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1768,00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 за рік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14344,00</w:t>
            </w:r>
          </w:p>
        </w:tc>
      </w:tr>
      <w:tr w:rsidR="00A859AC" w:rsidRPr="00925C30" w:rsidTr="005F1F4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Сумарно за п’ять років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25C3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9AC" w:rsidRPr="00925C30" w:rsidRDefault="00A859AC" w:rsidP="005F1F4F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859AC" w:rsidRPr="00925C30" w:rsidRDefault="00A859AC" w:rsidP="00A859AC">
      <w:pPr>
        <w:spacing w:after="15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6" w:name="n213"/>
      <w:bookmarkEnd w:id="6"/>
      <w:r w:rsidRPr="00925C3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__________</w:t>
      </w:r>
      <w:r w:rsidRPr="00925C30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925C30">
        <w:rPr>
          <w:rFonts w:ascii="Times New Roman" w:hAnsi="Times New Roman" w:cs="Times New Roman"/>
          <w:sz w:val="28"/>
          <w:szCs w:val="28"/>
          <w:lang w:val="uk-UA" w:eastAsia="uk-UA"/>
        </w:rPr>
        <w:br/>
      </w:r>
    </w:p>
    <w:p w:rsidR="00A859AC" w:rsidRPr="00925C30" w:rsidRDefault="00A859AC" w:rsidP="00A859AC">
      <w:pPr>
        <w:spacing w:after="150"/>
        <w:ind w:firstLine="45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7" w:name="n214"/>
      <w:bookmarkStart w:id="8" w:name="n216"/>
      <w:bookmarkStart w:id="9" w:name="n218"/>
      <w:bookmarkEnd w:id="7"/>
      <w:bookmarkEnd w:id="8"/>
      <w:bookmarkEnd w:id="9"/>
      <w:r w:rsidRPr="00925C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Розроблення </w:t>
      </w:r>
      <w:proofErr w:type="spellStart"/>
      <w:r w:rsidRPr="00925C30">
        <w:rPr>
          <w:rFonts w:ascii="Times New Roman" w:hAnsi="Times New Roman" w:cs="Times New Roman"/>
          <w:sz w:val="28"/>
          <w:szCs w:val="28"/>
          <w:lang w:val="uk-UA" w:eastAsia="uk-UA"/>
        </w:rPr>
        <w:t>корегуючих</w:t>
      </w:r>
      <w:proofErr w:type="spellEnd"/>
      <w:r w:rsidRPr="00925C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(пом’якшувальних) заходів для малого підприємництва щодо запропонованого регулювання не потребується.</w:t>
      </w:r>
    </w:p>
    <w:p w:rsidR="00A859AC" w:rsidRPr="00925C30" w:rsidRDefault="00A859AC" w:rsidP="00A859AC">
      <w:pPr>
        <w:pStyle w:val="a7"/>
        <w:shd w:val="clear" w:color="auto" w:fill="FFFFFF"/>
        <w:rPr>
          <w:color w:val="000000"/>
          <w:sz w:val="28"/>
          <w:szCs w:val="28"/>
          <w:lang w:val="uk-UA"/>
        </w:rPr>
      </w:pPr>
      <w:bookmarkStart w:id="10" w:name="n219"/>
      <w:bookmarkEnd w:id="10"/>
      <w:r w:rsidRPr="00925C30">
        <w:rPr>
          <w:color w:val="000000"/>
          <w:sz w:val="28"/>
          <w:szCs w:val="28"/>
          <w:lang w:val="uk-UA"/>
        </w:rPr>
        <w:t>Селищний голова                                                           Василь КАМІНСЬКИЙ</w:t>
      </w:r>
    </w:p>
    <w:p w:rsidR="00A859AC" w:rsidRPr="00925C30" w:rsidRDefault="00A859AC" w:rsidP="00A85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59AC" w:rsidRPr="00925C30" w:rsidRDefault="00A859AC" w:rsidP="00A859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5C30">
        <w:rPr>
          <w:rFonts w:ascii="Times New Roman" w:hAnsi="Times New Roman" w:cs="Times New Roman"/>
          <w:sz w:val="28"/>
          <w:szCs w:val="28"/>
          <w:lang w:val="uk-UA"/>
        </w:rPr>
        <w:t>Оприлюднено 16.04.2021 року</w:t>
      </w:r>
    </w:p>
    <w:p w:rsidR="00A859AC" w:rsidRPr="00B76B06" w:rsidRDefault="00A859AC" w:rsidP="00A859AC">
      <w:pPr>
        <w:rPr>
          <w:lang w:val="uk-UA"/>
        </w:rPr>
      </w:pPr>
    </w:p>
    <w:p w:rsidR="00A859AC" w:rsidRPr="003C162D" w:rsidRDefault="00A859AC" w:rsidP="00A859AC">
      <w:pPr>
        <w:pStyle w:val="a6"/>
        <w:spacing w:line="232" w:lineRule="auto"/>
        <w:jc w:val="center"/>
        <w:rPr>
          <w:sz w:val="28"/>
          <w:szCs w:val="28"/>
        </w:rPr>
      </w:pPr>
    </w:p>
    <w:p w:rsidR="0059675B" w:rsidRPr="00A859AC" w:rsidRDefault="0059675B">
      <w:pPr>
        <w:rPr>
          <w:lang w:val="uk-UA"/>
        </w:rPr>
      </w:pPr>
      <w:bookmarkStart w:id="11" w:name="_GoBack"/>
      <w:bookmarkEnd w:id="11"/>
    </w:p>
    <w:sectPr w:rsidR="0059675B" w:rsidRPr="00A85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2C"/>
    <w:rsid w:val="0059675B"/>
    <w:rsid w:val="00A859AC"/>
    <w:rsid w:val="00C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C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859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9A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11"/>
    <w:uiPriority w:val="99"/>
    <w:unhideWhenUsed/>
    <w:rsid w:val="00A85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A859AC"/>
    <w:rPr>
      <w:lang w:val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A85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A859AC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A859A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Стиль2"/>
    <w:uiPriority w:val="99"/>
    <w:rsid w:val="00A859AC"/>
  </w:style>
  <w:style w:type="paragraph" w:styleId="a7">
    <w:name w:val="Normal (Web)"/>
    <w:basedOn w:val="a"/>
    <w:uiPriority w:val="99"/>
    <w:unhideWhenUsed/>
    <w:rsid w:val="00A8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859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A8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859AC"/>
    <w:rPr>
      <w:b/>
      <w:bCs/>
    </w:rPr>
  </w:style>
  <w:style w:type="paragraph" w:customStyle="1" w:styleId="rvps14">
    <w:name w:val="rvps14"/>
    <w:basedOn w:val="a"/>
    <w:rsid w:val="00A8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A859AC"/>
  </w:style>
  <w:style w:type="paragraph" w:customStyle="1" w:styleId="rvps3">
    <w:name w:val="rvps3"/>
    <w:basedOn w:val="a"/>
    <w:rsid w:val="00A8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C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859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9A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11"/>
    <w:uiPriority w:val="99"/>
    <w:unhideWhenUsed/>
    <w:rsid w:val="00A85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uiPriority w:val="99"/>
    <w:semiHidden/>
    <w:rsid w:val="00A859AC"/>
    <w:rPr>
      <w:lang w:val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A85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A859AC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A859A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Стиль2"/>
    <w:uiPriority w:val="99"/>
    <w:rsid w:val="00A859AC"/>
  </w:style>
  <w:style w:type="paragraph" w:styleId="a7">
    <w:name w:val="Normal (Web)"/>
    <w:basedOn w:val="a"/>
    <w:uiPriority w:val="99"/>
    <w:unhideWhenUsed/>
    <w:rsid w:val="00A8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859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A8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859AC"/>
    <w:rPr>
      <w:b/>
      <w:bCs/>
    </w:rPr>
  </w:style>
  <w:style w:type="paragraph" w:customStyle="1" w:styleId="rvps14">
    <w:name w:val="rvps14"/>
    <w:basedOn w:val="a"/>
    <w:rsid w:val="00A8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A859AC"/>
  </w:style>
  <w:style w:type="paragraph" w:customStyle="1" w:styleId="rvps3">
    <w:name w:val="rvps3"/>
    <w:basedOn w:val="a"/>
    <w:rsid w:val="00A8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13945</Words>
  <Characters>7949</Characters>
  <Application>Microsoft Office Word</Application>
  <DocSecurity>0</DocSecurity>
  <Lines>66</Lines>
  <Paragraphs>43</Paragraphs>
  <ScaleCrop>false</ScaleCrop>
  <Company>diakov.net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2021-04-15T13:23:00Z</dcterms:created>
  <dcterms:modified xsi:type="dcterms:W3CDTF">2021-04-15T13:24:00Z</dcterms:modified>
</cp:coreProperties>
</file>